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3344" w:rsidRPr="00DF3344" w:rsidRDefault="00DF3344" w:rsidP="00DF3344">
      <w:pPr>
        <w:rPr>
          <w:rFonts w:ascii="Times New Roman" w:hAnsi="Times New Roman" w:cs="Times New Roman"/>
          <w:b/>
          <w:sz w:val="28"/>
          <w:szCs w:val="28"/>
          <w:lang w:val="en-US"/>
        </w:rPr>
      </w:pPr>
      <w:r w:rsidRPr="002370E0">
        <w:rPr>
          <w:rFonts w:ascii="Times New Roman" w:hAnsi="Times New Roman" w:cs="Times New Roman"/>
          <w:b/>
          <w:sz w:val="28"/>
          <w:szCs w:val="28"/>
          <w:lang w:val="en-US"/>
        </w:rPr>
        <w:t xml:space="preserve">   </w:t>
      </w:r>
      <w:r w:rsidRPr="00DF3344">
        <w:rPr>
          <w:rFonts w:ascii="Times New Roman" w:hAnsi="Times New Roman" w:cs="Times New Roman"/>
          <w:b/>
          <w:sz w:val="28"/>
          <w:szCs w:val="28"/>
          <w:lang w:val="en-US"/>
        </w:rPr>
        <w:t xml:space="preserve">                        </w:t>
      </w:r>
      <w:r w:rsidRPr="002370E0">
        <w:rPr>
          <w:rFonts w:ascii="Times New Roman" w:hAnsi="Times New Roman" w:cs="Times New Roman"/>
          <w:b/>
          <w:sz w:val="28"/>
          <w:szCs w:val="28"/>
          <w:lang w:val="en-US"/>
        </w:rPr>
        <w:t xml:space="preserve"> </w:t>
      </w:r>
      <w:r w:rsidRPr="00E95A9D">
        <w:rPr>
          <w:rFonts w:ascii="Times New Roman" w:hAnsi="Times New Roman" w:cs="Times New Roman"/>
          <w:b/>
          <w:sz w:val="28"/>
          <w:szCs w:val="28"/>
          <w:lang w:val="en-US"/>
        </w:rPr>
        <w:t xml:space="preserve">                                                                                  </w:t>
      </w:r>
      <w:r w:rsidRPr="002370E0">
        <w:rPr>
          <w:rFonts w:ascii="Times New Roman" w:hAnsi="Times New Roman" w:cs="Times New Roman"/>
          <w:b/>
          <w:sz w:val="28"/>
          <w:szCs w:val="28"/>
          <w:lang w:val="en-US"/>
        </w:rPr>
        <w:t xml:space="preserve">  </w:t>
      </w:r>
      <w:r w:rsidRPr="00FB089D">
        <w:rPr>
          <w:rFonts w:ascii="Times New Roman" w:hAnsi="Times New Roman" w:cs="Times New Roman"/>
          <w:b/>
          <w:sz w:val="28"/>
          <w:szCs w:val="28"/>
          <w:lang w:val="en-US"/>
        </w:rPr>
        <w:t>F.7.</w:t>
      </w:r>
      <w:r w:rsidR="009703F5" w:rsidRPr="009703F5">
        <w:rPr>
          <w:rFonts w:ascii="Times New Roman" w:hAnsi="Times New Roman" w:cs="Times New Roman"/>
          <w:b/>
          <w:sz w:val="28"/>
          <w:szCs w:val="28"/>
          <w:lang w:val="en-US"/>
        </w:rPr>
        <w:t>03</w:t>
      </w:r>
      <w:r w:rsidRPr="00FB089D">
        <w:rPr>
          <w:rFonts w:ascii="Times New Roman" w:hAnsi="Times New Roman" w:cs="Times New Roman"/>
          <w:b/>
          <w:sz w:val="28"/>
          <w:szCs w:val="28"/>
          <w:lang w:val="en-US"/>
        </w:rPr>
        <w:t xml:space="preserve"> -</w:t>
      </w:r>
      <w:r w:rsidR="009703F5" w:rsidRPr="009703F5">
        <w:rPr>
          <w:rFonts w:ascii="Times New Roman" w:hAnsi="Times New Roman" w:cs="Times New Roman"/>
          <w:b/>
          <w:sz w:val="28"/>
          <w:szCs w:val="28"/>
          <w:lang w:val="en-US"/>
        </w:rPr>
        <w:t>20</w:t>
      </w:r>
      <w:r w:rsidRPr="00B1183A">
        <w:rPr>
          <w:rFonts w:ascii="Times New Roman" w:hAnsi="Times New Roman" w:cs="Times New Roman"/>
          <w:sz w:val="28"/>
          <w:szCs w:val="28"/>
          <w:lang w:val="en-US"/>
        </w:rPr>
        <w:br/>
        <w:t> </w:t>
      </w:r>
      <w:r w:rsidRPr="00B1183A">
        <w:rPr>
          <w:rFonts w:ascii="Times New Roman" w:hAnsi="Times New Roman" w:cs="Times New Roman"/>
          <w:sz w:val="28"/>
          <w:szCs w:val="28"/>
          <w:lang w:val="en-US"/>
        </w:rPr>
        <w:br/>
      </w:r>
      <w:r w:rsidRPr="002370E0">
        <w:rPr>
          <w:rFonts w:ascii="Times New Roman" w:hAnsi="Times New Roman" w:cs="Times New Roman"/>
          <w:sz w:val="28"/>
          <w:szCs w:val="28"/>
          <w:lang w:val="en-US"/>
        </w:rPr>
        <w:t xml:space="preserve">                                      </w:t>
      </w:r>
      <w:r w:rsidRPr="00D04F9C">
        <w:rPr>
          <w:rFonts w:ascii="Times New Roman" w:hAnsi="Times New Roman" w:cs="Times New Roman"/>
          <w:noProof/>
          <w:sz w:val="28"/>
          <w:szCs w:val="28"/>
        </w:rPr>
        <w:drawing>
          <wp:inline distT="0" distB="0" distL="0" distR="0">
            <wp:extent cx="1955800" cy="1930400"/>
            <wp:effectExtent l="0" t="0" r="6350" b="0"/>
            <wp:docPr id="29" name="Рисунок 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930400"/>
                    </a:xfrm>
                    <a:prstGeom prst="rect">
                      <a:avLst/>
                    </a:prstGeom>
                    <a:noFill/>
                    <a:ln>
                      <a:noFill/>
                    </a:ln>
                  </pic:spPr>
                </pic:pic>
              </a:graphicData>
            </a:graphic>
          </wp:inline>
        </w:drawing>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2370E0">
        <w:rPr>
          <w:rFonts w:ascii="Times New Roman" w:hAnsi="Times New Roman" w:cs="Times New Roman"/>
          <w:b/>
          <w:sz w:val="28"/>
          <w:szCs w:val="28"/>
          <w:lang w:val="en-US"/>
        </w:rPr>
        <w:t xml:space="preserve">                  </w:t>
      </w:r>
      <w:r w:rsidR="00E95A9D">
        <w:rPr>
          <w:rFonts w:ascii="Times New Roman" w:hAnsi="Times New Roman" w:cs="Times New Roman"/>
          <w:b/>
          <w:sz w:val="28"/>
          <w:szCs w:val="28"/>
          <w:lang w:val="en-US"/>
        </w:rPr>
        <w:t xml:space="preserve">                </w:t>
      </w:r>
      <w:r w:rsidRPr="00FB089D">
        <w:rPr>
          <w:rFonts w:ascii="Times New Roman" w:hAnsi="Times New Roman" w:cs="Times New Roman"/>
          <w:b/>
          <w:sz w:val="28"/>
          <w:szCs w:val="28"/>
          <w:lang w:val="en-US"/>
        </w:rPr>
        <w:t>Shoraev B.A.</w:t>
      </w:r>
      <w:proofErr w:type="gramStart"/>
      <w:r w:rsidR="00E95A9D" w:rsidRPr="00E95A9D">
        <w:rPr>
          <w:rFonts w:ascii="Times New Roman" w:hAnsi="Times New Roman" w:cs="Times New Roman"/>
          <w:b/>
          <w:sz w:val="28"/>
          <w:szCs w:val="28"/>
          <w:lang w:val="en-US"/>
        </w:rPr>
        <w:t>,</w:t>
      </w:r>
      <w:r w:rsidR="00E95A9D" w:rsidRPr="009703F5">
        <w:rPr>
          <w:rFonts w:ascii="Times New Roman" w:hAnsi="Times New Roman" w:cs="Times New Roman"/>
          <w:b/>
          <w:sz w:val="28"/>
          <w:szCs w:val="28"/>
          <w:lang w:val="en-US"/>
        </w:rPr>
        <w:t>Saparaliev</w:t>
      </w:r>
      <w:proofErr w:type="gramEnd"/>
      <w:r w:rsidR="00E95A9D" w:rsidRPr="009703F5">
        <w:rPr>
          <w:rFonts w:ascii="Times New Roman" w:hAnsi="Times New Roman" w:cs="Times New Roman"/>
          <w:b/>
          <w:sz w:val="28"/>
          <w:szCs w:val="28"/>
          <w:lang w:val="en-US"/>
        </w:rPr>
        <w:t xml:space="preserve"> T.J.</w:t>
      </w:r>
      <w:r w:rsidRPr="00FB089D">
        <w:rPr>
          <w:rFonts w:ascii="Times New Roman" w:hAnsi="Times New Roman" w:cs="Times New Roman"/>
          <w:b/>
          <w:sz w:val="28"/>
          <w:szCs w:val="28"/>
          <w:lang w:val="en-US"/>
        </w:rPr>
        <w:br/>
      </w:r>
      <w:r w:rsidRPr="002370E0">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Lectures</w:t>
      </w:r>
      <w:r w:rsidRPr="00FB089D">
        <w:rPr>
          <w:rFonts w:ascii="Times New Roman" w:hAnsi="Times New Roman" w:cs="Times New Roman"/>
          <w:b/>
          <w:sz w:val="28"/>
          <w:szCs w:val="28"/>
          <w:lang w:val="en-US"/>
        </w:rPr>
        <w:t xml:space="preserve"> for the subject "</w:t>
      </w:r>
      <w:r>
        <w:rPr>
          <w:rFonts w:ascii="Times New Roman" w:hAnsi="Times New Roman" w:cs="Times New Roman"/>
          <w:b/>
          <w:sz w:val="28"/>
          <w:szCs w:val="28"/>
          <w:lang w:val="en-US"/>
        </w:rPr>
        <w:t>Finances  of foreign countries</w:t>
      </w:r>
      <w:r w:rsidRPr="00FB089D">
        <w:rPr>
          <w:rFonts w:ascii="Times New Roman" w:hAnsi="Times New Roman" w:cs="Times New Roman"/>
          <w:b/>
          <w:sz w:val="28"/>
          <w:szCs w:val="28"/>
          <w:lang w:val="en-US"/>
        </w:rPr>
        <w:t xml:space="preserve"> "</w:t>
      </w:r>
      <w:r w:rsidRPr="00FB089D">
        <w:rPr>
          <w:rFonts w:ascii="Times New Roman" w:hAnsi="Times New Roman" w:cs="Times New Roman"/>
          <w:b/>
          <w:sz w:val="28"/>
          <w:szCs w:val="28"/>
          <w:lang w:val="en-US"/>
        </w:rPr>
        <w:br/>
        <w:t xml:space="preserve">                          for students of specialties: 5</w:t>
      </w:r>
      <w:r>
        <w:rPr>
          <w:rFonts w:ascii="Times New Roman" w:hAnsi="Times New Roman" w:cs="Times New Roman"/>
          <w:b/>
          <w:sz w:val="28"/>
          <w:szCs w:val="28"/>
          <w:lang w:val="en-US"/>
        </w:rPr>
        <w:t>B050900 "Finance"</w:t>
      </w:r>
      <w:r>
        <w:rPr>
          <w:rFonts w:ascii="Times New Roman" w:hAnsi="Times New Roman" w:cs="Times New Roman"/>
          <w:b/>
          <w:sz w:val="28"/>
          <w:szCs w:val="28"/>
          <w:lang w:val="en-US"/>
        </w:rPr>
        <w:br/>
      </w:r>
      <w:r w:rsidRPr="002370E0">
        <w:rPr>
          <w:rFonts w:ascii="Times New Roman" w:hAnsi="Times New Roman" w:cs="Times New Roman"/>
          <w:b/>
          <w:sz w:val="28"/>
          <w:szCs w:val="28"/>
          <w:lang w:val="en-US"/>
        </w:rPr>
        <w:t xml:space="preserve">                                      </w:t>
      </w:r>
      <w:r w:rsidRPr="00FB089D">
        <w:rPr>
          <w:rFonts w:ascii="Times New Roman" w:hAnsi="Times New Roman" w:cs="Times New Roman"/>
          <w:b/>
          <w:sz w:val="28"/>
          <w:szCs w:val="28"/>
          <w:lang w:val="en-US"/>
        </w:rPr>
        <w:t>Full-time form of education</w:t>
      </w:r>
      <w:r w:rsidRPr="00FB089D">
        <w:rPr>
          <w:rFonts w:ascii="Times New Roman" w:hAnsi="Times New Roman" w:cs="Times New Roman"/>
          <w:b/>
          <w:sz w:val="28"/>
          <w:szCs w:val="28"/>
          <w:lang w:val="en-US"/>
        </w:rPr>
        <w:br/>
      </w:r>
      <w:r w:rsidRPr="00B1183A">
        <w:rPr>
          <w:rFonts w:ascii="Times New Roman" w:hAnsi="Times New Roman" w:cs="Times New Roman"/>
          <w:sz w:val="28"/>
          <w:szCs w:val="28"/>
          <w:lang w:val="en-US"/>
        </w:rPr>
        <w:br/>
      </w:r>
      <w:r w:rsidRPr="00D04F9C">
        <w:rPr>
          <w:rFonts w:ascii="Times New Roman" w:hAnsi="Times New Roman" w:cs="Times New Roman"/>
          <w:noProof/>
          <w:sz w:val="28"/>
          <w:szCs w:val="28"/>
        </w:rPr>
        <w:drawing>
          <wp:inline distT="0" distB="0" distL="0" distR="0">
            <wp:extent cx="5397500" cy="4114800"/>
            <wp:effectExtent l="0" t="0" r="0" b="0"/>
            <wp:docPr id="31" name="Рисунок 3"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114800"/>
                    </a:xfrm>
                    <a:prstGeom prst="rect">
                      <a:avLst/>
                    </a:prstGeom>
                    <a:noFill/>
                    <a:ln>
                      <a:noFill/>
                    </a:ln>
                  </pic:spPr>
                </pic:pic>
              </a:graphicData>
            </a:graphic>
          </wp:inline>
        </w:drawing>
      </w:r>
      <w:r>
        <w:rPr>
          <w:rFonts w:ascii="Times New Roman" w:hAnsi="Times New Roman" w:cs="Times New Roman"/>
          <w:sz w:val="28"/>
          <w:szCs w:val="28"/>
          <w:lang w:val="en-US"/>
        </w:rPr>
        <w:br/>
        <w:t> </w:t>
      </w:r>
      <w:r>
        <w:rPr>
          <w:rFonts w:ascii="Times New Roman" w:hAnsi="Times New Roman" w:cs="Times New Roman"/>
          <w:sz w:val="28"/>
          <w:szCs w:val="28"/>
          <w:lang w:val="en-US"/>
        </w:rPr>
        <w:br/>
      </w:r>
      <w:r w:rsidRPr="002370E0">
        <w:rPr>
          <w:rFonts w:ascii="Times New Roman" w:hAnsi="Times New Roman" w:cs="Times New Roman"/>
          <w:b/>
          <w:sz w:val="28"/>
          <w:szCs w:val="28"/>
          <w:lang w:val="en-US"/>
        </w:rPr>
        <w:t xml:space="preserve">                                      </w:t>
      </w:r>
      <w:r>
        <w:rPr>
          <w:rFonts w:ascii="Times New Roman" w:hAnsi="Times New Roman" w:cs="Times New Roman"/>
          <w:b/>
          <w:sz w:val="28"/>
          <w:szCs w:val="28"/>
          <w:lang w:val="en-US"/>
        </w:rPr>
        <w:t>Shymkent, 2020</w:t>
      </w:r>
      <w:r w:rsidRPr="00FB089D">
        <w:rPr>
          <w:rFonts w:ascii="Times New Roman" w:hAnsi="Times New Roman" w:cs="Times New Roman"/>
          <w:b/>
          <w:sz w:val="28"/>
          <w:szCs w:val="28"/>
          <w:lang w:val="en-US"/>
        </w:rPr>
        <w:br/>
      </w:r>
      <w:r w:rsidRPr="00B1183A">
        <w:rPr>
          <w:rFonts w:ascii="Times New Roman" w:hAnsi="Times New Roman" w:cs="Times New Roman"/>
          <w:sz w:val="28"/>
          <w:szCs w:val="28"/>
          <w:lang w:val="en-US"/>
        </w:rPr>
        <w:lastRenderedPageBreak/>
        <w:br/>
      </w:r>
      <w:r w:rsidRPr="00B1183A">
        <w:rPr>
          <w:rFonts w:ascii="Times New Roman" w:hAnsi="Times New Roman" w:cs="Times New Roman"/>
          <w:sz w:val="28"/>
          <w:szCs w:val="28"/>
          <w:lang w:val="en-US"/>
        </w:rPr>
        <w:br/>
      </w:r>
      <w:r w:rsidRPr="00FB089D">
        <w:rPr>
          <w:rFonts w:ascii="Times New Roman" w:hAnsi="Times New Roman" w:cs="Times New Roman"/>
          <w:b/>
          <w:sz w:val="28"/>
          <w:szCs w:val="28"/>
          <w:lang w:val="en-US"/>
        </w:rPr>
        <w:t xml:space="preserve">                                                                                                      </w:t>
      </w:r>
    </w:p>
    <w:p w:rsidR="009703F5" w:rsidRPr="007532A4" w:rsidRDefault="00DF3344" w:rsidP="00DF3344">
      <w:pPr>
        <w:rPr>
          <w:rFonts w:ascii="Times New Roman" w:hAnsi="Times New Roman" w:cs="Times New Roman"/>
          <w:b/>
          <w:sz w:val="28"/>
          <w:szCs w:val="28"/>
          <w:lang w:val="en-US"/>
        </w:rPr>
      </w:pPr>
      <w:r w:rsidRPr="002370E0">
        <w:rPr>
          <w:rFonts w:ascii="Times New Roman" w:hAnsi="Times New Roman" w:cs="Times New Roman"/>
          <w:b/>
          <w:sz w:val="28"/>
          <w:szCs w:val="28"/>
          <w:lang w:val="en-US"/>
        </w:rPr>
        <w:t xml:space="preserve">                                                                                                       </w:t>
      </w:r>
      <w:r w:rsidRPr="00FB089D">
        <w:rPr>
          <w:rFonts w:ascii="Times New Roman" w:hAnsi="Times New Roman" w:cs="Times New Roman"/>
          <w:b/>
          <w:sz w:val="28"/>
          <w:szCs w:val="28"/>
          <w:lang w:val="en-US"/>
        </w:rPr>
        <w:t xml:space="preserve"> </w:t>
      </w: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9703F5" w:rsidRPr="007532A4" w:rsidRDefault="009703F5" w:rsidP="00DF3344">
      <w:pPr>
        <w:rPr>
          <w:rFonts w:ascii="Times New Roman" w:hAnsi="Times New Roman" w:cs="Times New Roman"/>
          <w:b/>
          <w:sz w:val="28"/>
          <w:szCs w:val="28"/>
          <w:lang w:val="en-US"/>
        </w:rPr>
      </w:pPr>
    </w:p>
    <w:p w:rsidR="00DF3344" w:rsidRPr="00FB089D" w:rsidRDefault="009703F5" w:rsidP="00DF3344">
      <w:pPr>
        <w:rPr>
          <w:rFonts w:ascii="Times New Roman" w:hAnsi="Times New Roman" w:cs="Times New Roman"/>
          <w:b/>
          <w:sz w:val="28"/>
          <w:szCs w:val="28"/>
          <w:lang w:val="en-US"/>
        </w:rPr>
      </w:pPr>
      <w:r w:rsidRPr="009703F5">
        <w:rPr>
          <w:rFonts w:ascii="Times New Roman" w:hAnsi="Times New Roman" w:cs="Times New Roman"/>
          <w:b/>
          <w:sz w:val="28"/>
          <w:szCs w:val="28"/>
          <w:lang w:val="en-US"/>
        </w:rPr>
        <w:t xml:space="preserve">                                                                                                                      </w:t>
      </w:r>
      <w:r w:rsidR="00DF3344" w:rsidRPr="00FB089D">
        <w:rPr>
          <w:rFonts w:ascii="Times New Roman" w:hAnsi="Times New Roman" w:cs="Times New Roman"/>
          <w:b/>
          <w:sz w:val="28"/>
          <w:szCs w:val="28"/>
          <w:lang w:val="en-US"/>
        </w:rPr>
        <w:t xml:space="preserve">  F.7.</w:t>
      </w:r>
      <w:r w:rsidRPr="009703F5">
        <w:rPr>
          <w:rFonts w:ascii="Times New Roman" w:hAnsi="Times New Roman" w:cs="Times New Roman"/>
          <w:b/>
          <w:sz w:val="28"/>
          <w:szCs w:val="28"/>
          <w:lang w:val="en-US"/>
        </w:rPr>
        <w:t>03</w:t>
      </w:r>
      <w:r w:rsidR="00DF3344" w:rsidRPr="00FB089D">
        <w:rPr>
          <w:rFonts w:ascii="Times New Roman" w:hAnsi="Times New Roman" w:cs="Times New Roman"/>
          <w:b/>
          <w:sz w:val="28"/>
          <w:szCs w:val="28"/>
          <w:lang w:val="en-US"/>
        </w:rPr>
        <w:t>-</w:t>
      </w:r>
      <w:r w:rsidRPr="009703F5">
        <w:rPr>
          <w:rFonts w:ascii="Times New Roman" w:hAnsi="Times New Roman" w:cs="Times New Roman"/>
          <w:b/>
          <w:sz w:val="28"/>
          <w:szCs w:val="28"/>
          <w:lang w:val="en-US"/>
        </w:rPr>
        <w:t>20</w:t>
      </w:r>
      <w:r w:rsidR="00DF3344" w:rsidRPr="00FB089D">
        <w:rPr>
          <w:rFonts w:ascii="Times New Roman" w:hAnsi="Times New Roman" w:cs="Times New Roman"/>
          <w:b/>
          <w:sz w:val="28"/>
          <w:szCs w:val="28"/>
          <w:lang w:val="en-US"/>
        </w:rPr>
        <w:br/>
      </w:r>
      <w:r w:rsidR="00DF3344" w:rsidRPr="00FB089D">
        <w:rPr>
          <w:rFonts w:ascii="Times New Roman" w:hAnsi="Times New Roman" w:cs="Times New Roman"/>
          <w:b/>
          <w:sz w:val="28"/>
          <w:szCs w:val="28"/>
          <w:lang w:val="en-US"/>
        </w:rPr>
        <w:br/>
        <w:t xml:space="preserve">                    </w:t>
      </w:r>
      <w:proofErr w:type="gramStart"/>
      <w:r w:rsidR="00DF3344" w:rsidRPr="00FB089D">
        <w:rPr>
          <w:rFonts w:ascii="Times New Roman" w:hAnsi="Times New Roman" w:cs="Times New Roman"/>
          <w:b/>
          <w:sz w:val="28"/>
          <w:szCs w:val="28"/>
          <w:lang w:val="en-US"/>
        </w:rPr>
        <w:t>MINISTRY  OF</w:t>
      </w:r>
      <w:proofErr w:type="gramEnd"/>
      <w:r w:rsidR="00DF3344" w:rsidRPr="00FB089D">
        <w:rPr>
          <w:rFonts w:ascii="Times New Roman" w:hAnsi="Times New Roman" w:cs="Times New Roman"/>
          <w:b/>
          <w:sz w:val="28"/>
          <w:szCs w:val="28"/>
          <w:lang w:val="en-US"/>
        </w:rPr>
        <w:t xml:space="preserve">  EDUCATION  AND  SCIENCE  OF THE</w:t>
      </w:r>
    </w:p>
    <w:p w:rsidR="009703F5" w:rsidRPr="007532A4" w:rsidRDefault="00DF3344" w:rsidP="00DF3344">
      <w:pPr>
        <w:rPr>
          <w:rFonts w:ascii="Times New Roman" w:hAnsi="Times New Roman" w:cs="Times New Roman"/>
          <w:sz w:val="28"/>
          <w:szCs w:val="28"/>
          <w:lang w:val="en-US"/>
        </w:rPr>
      </w:pPr>
      <w:r w:rsidRPr="00FB089D">
        <w:rPr>
          <w:rFonts w:ascii="Times New Roman" w:hAnsi="Times New Roman" w:cs="Times New Roman"/>
          <w:b/>
          <w:sz w:val="28"/>
          <w:szCs w:val="28"/>
          <w:lang w:val="en-US"/>
        </w:rPr>
        <w:t xml:space="preserve">                                 REPUBLIC      OF    KAZAKHSTAN</w:t>
      </w:r>
      <w:r w:rsidRPr="00FB089D">
        <w:rPr>
          <w:rFonts w:ascii="Times New Roman" w:hAnsi="Times New Roman" w:cs="Times New Roman"/>
          <w:b/>
          <w:sz w:val="28"/>
          <w:szCs w:val="28"/>
          <w:lang w:val="en-US"/>
        </w:rPr>
        <w:br/>
      </w:r>
      <w:r w:rsidRPr="00FB089D">
        <w:rPr>
          <w:rFonts w:ascii="Times New Roman" w:hAnsi="Times New Roman" w:cs="Times New Roman"/>
          <w:b/>
          <w:sz w:val="28"/>
          <w:szCs w:val="28"/>
          <w:lang w:val="en-US"/>
        </w:rPr>
        <w:br/>
        <w:t xml:space="preserve">                                South Kazakhstan State </w:t>
      </w:r>
      <w:proofErr w:type="gramStart"/>
      <w:r w:rsidRPr="00FB089D">
        <w:rPr>
          <w:rFonts w:ascii="Times New Roman" w:hAnsi="Times New Roman" w:cs="Times New Roman"/>
          <w:b/>
          <w:sz w:val="28"/>
          <w:szCs w:val="28"/>
          <w:lang w:val="en-US"/>
        </w:rPr>
        <w:t>University  M.Auezov</w:t>
      </w:r>
      <w:proofErr w:type="gramEnd"/>
      <w:r w:rsidRPr="00FB089D">
        <w:rPr>
          <w:rFonts w:ascii="Times New Roman" w:hAnsi="Times New Roman" w:cs="Times New Roman"/>
          <w:b/>
          <w:sz w:val="28"/>
          <w:szCs w:val="28"/>
          <w:lang w:val="en-US"/>
        </w:rPr>
        <w:br/>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2370E0">
        <w:rPr>
          <w:rFonts w:ascii="Times New Roman" w:hAnsi="Times New Roman" w:cs="Times New Roman"/>
          <w:b/>
          <w:sz w:val="28"/>
          <w:szCs w:val="28"/>
          <w:lang w:val="en-US"/>
        </w:rPr>
        <w:t xml:space="preserve">                                      </w:t>
      </w:r>
      <w:r w:rsidRPr="00FB089D">
        <w:rPr>
          <w:rFonts w:ascii="Times New Roman" w:hAnsi="Times New Roman" w:cs="Times New Roman"/>
          <w:b/>
          <w:sz w:val="28"/>
          <w:szCs w:val="28"/>
          <w:lang w:val="en-US"/>
        </w:rPr>
        <w:t>Department of  "Finance"</w:t>
      </w:r>
      <w:r w:rsidRPr="00FB089D">
        <w:rPr>
          <w:rFonts w:ascii="Times New Roman" w:hAnsi="Times New Roman" w:cs="Times New Roman"/>
          <w:b/>
          <w:sz w:val="28"/>
          <w:szCs w:val="28"/>
          <w:lang w:val="en-US"/>
        </w:rPr>
        <w:br/>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2370E0">
        <w:rPr>
          <w:rFonts w:ascii="Times New Roman" w:hAnsi="Times New Roman" w:cs="Times New Roman"/>
          <w:b/>
          <w:sz w:val="28"/>
          <w:szCs w:val="28"/>
          <w:lang w:val="en-US"/>
        </w:rPr>
        <w:t xml:space="preserve">                                                    </w:t>
      </w:r>
      <w:r w:rsidRPr="00B1183A">
        <w:rPr>
          <w:rFonts w:ascii="Times New Roman" w:hAnsi="Times New Roman" w:cs="Times New Roman"/>
          <w:b/>
          <w:sz w:val="28"/>
          <w:szCs w:val="28"/>
          <w:lang w:val="en-US"/>
        </w:rPr>
        <w:t>Shoraev B.A.</w:t>
      </w:r>
      <w:r w:rsidRPr="00B1183A">
        <w:rPr>
          <w:rFonts w:ascii="Times New Roman" w:hAnsi="Times New Roman" w:cs="Times New Roman"/>
          <w:b/>
          <w:sz w:val="28"/>
          <w:szCs w:val="28"/>
          <w:lang w:val="en-US"/>
        </w:rPr>
        <w:br/>
      </w:r>
      <w:r w:rsidRPr="00B1183A">
        <w:rPr>
          <w:rFonts w:ascii="Times New Roman" w:hAnsi="Times New Roman" w:cs="Times New Roman"/>
          <w:sz w:val="28"/>
          <w:szCs w:val="28"/>
          <w:lang w:val="en-US"/>
        </w:rPr>
        <w:br/>
      </w:r>
      <w:r w:rsidRPr="00451BFC">
        <w:rPr>
          <w:rFonts w:ascii="Times New Roman" w:hAnsi="Times New Roman" w:cs="Times New Roman"/>
          <w:b/>
          <w:sz w:val="28"/>
          <w:szCs w:val="28"/>
          <w:lang w:val="en-US"/>
        </w:rPr>
        <w:t xml:space="preserve">                                               </w:t>
      </w:r>
      <w:r w:rsidRPr="002370E0">
        <w:rPr>
          <w:rFonts w:ascii="Times New Roman" w:hAnsi="Times New Roman" w:cs="Times New Roman"/>
          <w:b/>
          <w:sz w:val="28"/>
          <w:szCs w:val="28"/>
          <w:lang w:val="en-US"/>
        </w:rPr>
        <w:t xml:space="preserve">    </w:t>
      </w:r>
      <w:r w:rsidRPr="00451BFC">
        <w:rPr>
          <w:rFonts w:ascii="Times New Roman" w:hAnsi="Times New Roman" w:cs="Times New Roman"/>
          <w:b/>
          <w:sz w:val="28"/>
          <w:szCs w:val="28"/>
          <w:lang w:val="en-US"/>
        </w:rPr>
        <w:t xml:space="preserve">  Lectures </w:t>
      </w:r>
      <w:r w:rsidRPr="00451BFC">
        <w:rPr>
          <w:rFonts w:ascii="Times New Roman" w:hAnsi="Times New Roman" w:cs="Times New Roman"/>
          <w:b/>
          <w:sz w:val="28"/>
          <w:szCs w:val="28"/>
          <w:lang w:val="en-US"/>
        </w:rPr>
        <w:br/>
      </w:r>
      <w:r w:rsidRPr="00FB089D">
        <w:rPr>
          <w:rFonts w:ascii="Times New Roman" w:hAnsi="Times New Roman" w:cs="Times New Roman"/>
          <w:b/>
          <w:sz w:val="28"/>
          <w:szCs w:val="28"/>
          <w:lang w:val="en-US"/>
        </w:rPr>
        <w:t xml:space="preserve"> </w:t>
      </w:r>
      <w:r w:rsidRPr="002370E0">
        <w:rPr>
          <w:rFonts w:ascii="Times New Roman" w:hAnsi="Times New Roman" w:cs="Times New Roman"/>
          <w:b/>
          <w:sz w:val="28"/>
          <w:szCs w:val="28"/>
          <w:lang w:val="en-US"/>
        </w:rPr>
        <w:t xml:space="preserve">                        </w:t>
      </w:r>
      <w:r w:rsidRPr="00FB089D">
        <w:rPr>
          <w:rFonts w:ascii="Times New Roman" w:hAnsi="Times New Roman" w:cs="Times New Roman"/>
          <w:b/>
          <w:sz w:val="28"/>
          <w:szCs w:val="28"/>
          <w:lang w:val="en-US"/>
        </w:rPr>
        <w:t>for the subject "</w:t>
      </w:r>
      <w:proofErr w:type="gramStart"/>
      <w:r>
        <w:rPr>
          <w:rFonts w:ascii="Times New Roman" w:hAnsi="Times New Roman" w:cs="Times New Roman"/>
          <w:b/>
          <w:sz w:val="28"/>
          <w:szCs w:val="28"/>
          <w:lang w:val="en-US"/>
        </w:rPr>
        <w:t>Finances  of</w:t>
      </w:r>
      <w:proofErr w:type="gramEnd"/>
      <w:r>
        <w:rPr>
          <w:rFonts w:ascii="Times New Roman" w:hAnsi="Times New Roman" w:cs="Times New Roman"/>
          <w:b/>
          <w:sz w:val="28"/>
          <w:szCs w:val="28"/>
          <w:lang w:val="en-US"/>
        </w:rPr>
        <w:t xml:space="preserve"> foreign countries</w:t>
      </w:r>
      <w:r w:rsidRPr="00FB089D">
        <w:rPr>
          <w:rFonts w:ascii="Times New Roman" w:hAnsi="Times New Roman" w:cs="Times New Roman"/>
          <w:b/>
          <w:sz w:val="28"/>
          <w:szCs w:val="28"/>
          <w:lang w:val="en-US"/>
        </w:rPr>
        <w:t xml:space="preserve"> "</w:t>
      </w:r>
      <w:r w:rsidRPr="00FB089D">
        <w:rPr>
          <w:rFonts w:ascii="Times New Roman" w:hAnsi="Times New Roman" w:cs="Times New Roman"/>
          <w:b/>
          <w:sz w:val="28"/>
          <w:szCs w:val="28"/>
          <w:lang w:val="en-US"/>
        </w:rPr>
        <w:br/>
        <w:t xml:space="preserve">                          for students of specialties: 5</w:t>
      </w:r>
      <w:r>
        <w:rPr>
          <w:rFonts w:ascii="Times New Roman" w:hAnsi="Times New Roman" w:cs="Times New Roman"/>
          <w:b/>
          <w:sz w:val="28"/>
          <w:szCs w:val="28"/>
          <w:lang w:val="en-US"/>
        </w:rPr>
        <w:t>B</w:t>
      </w:r>
      <w:r w:rsidRPr="00FB089D">
        <w:rPr>
          <w:rFonts w:ascii="Times New Roman" w:hAnsi="Times New Roman" w:cs="Times New Roman"/>
          <w:b/>
          <w:sz w:val="28"/>
          <w:szCs w:val="28"/>
          <w:lang w:val="en-US"/>
        </w:rPr>
        <w:t>050900 "Finance"</w:t>
      </w:r>
      <w:r w:rsidRPr="00FB089D">
        <w:rPr>
          <w:rFonts w:ascii="Times New Roman" w:hAnsi="Times New Roman" w:cs="Times New Roman"/>
          <w:b/>
          <w:sz w:val="28"/>
          <w:szCs w:val="28"/>
          <w:lang w:val="en-US"/>
        </w:rPr>
        <w:br/>
      </w:r>
      <w:r w:rsidRPr="00FB089D">
        <w:rPr>
          <w:rFonts w:ascii="Times New Roman" w:hAnsi="Times New Roman" w:cs="Times New Roman"/>
          <w:b/>
          <w:sz w:val="28"/>
          <w:szCs w:val="28"/>
          <w:lang w:val="en-US"/>
        </w:rPr>
        <w:br/>
        <w:t xml:space="preserve">                                       Full-tim</w:t>
      </w:r>
      <w:r>
        <w:rPr>
          <w:rFonts w:ascii="Times New Roman" w:hAnsi="Times New Roman" w:cs="Times New Roman"/>
          <w:b/>
          <w:sz w:val="28"/>
          <w:szCs w:val="28"/>
          <w:lang w:val="en-US"/>
        </w:rPr>
        <w:t>e form of education</w:t>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Pr>
          <w:rFonts w:ascii="Times New Roman" w:hAnsi="Times New Roman" w:cs="Times New Roman"/>
          <w:b/>
          <w:sz w:val="28"/>
          <w:szCs w:val="28"/>
          <w:lang w:val="en-US"/>
        </w:rPr>
        <w:br/>
      </w:r>
      <w:r w:rsidRPr="00DF3344">
        <w:rPr>
          <w:rFonts w:ascii="Times New Roman" w:hAnsi="Times New Roman" w:cs="Times New Roman"/>
          <w:b/>
          <w:sz w:val="28"/>
          <w:szCs w:val="28"/>
          <w:lang w:val="en-US"/>
        </w:rPr>
        <w:t xml:space="preserve">                                                   </w:t>
      </w:r>
      <w:r w:rsidRPr="002370E0">
        <w:rPr>
          <w:rFonts w:ascii="Times New Roman" w:hAnsi="Times New Roman" w:cs="Times New Roman"/>
          <w:b/>
          <w:sz w:val="28"/>
          <w:szCs w:val="28"/>
          <w:lang w:val="en-US"/>
        </w:rPr>
        <w:t xml:space="preserve">  </w:t>
      </w:r>
      <w:r w:rsidR="00E95A9D">
        <w:rPr>
          <w:rFonts w:ascii="Times New Roman" w:hAnsi="Times New Roman" w:cs="Times New Roman"/>
          <w:b/>
          <w:sz w:val="28"/>
          <w:szCs w:val="28"/>
          <w:lang w:val="en-US"/>
        </w:rPr>
        <w:t>Shymkent - 2020</w:t>
      </w:r>
      <w:r w:rsidRPr="00FB089D">
        <w:rPr>
          <w:rFonts w:ascii="Times New Roman" w:hAnsi="Times New Roman" w:cs="Times New Roman"/>
          <w:b/>
          <w:sz w:val="28"/>
          <w:szCs w:val="28"/>
          <w:lang w:val="en-US"/>
        </w:rPr>
        <w:br/>
      </w:r>
      <w:r w:rsidRPr="00B1183A">
        <w:rPr>
          <w:rFonts w:ascii="Times New Roman" w:hAnsi="Times New Roman" w:cs="Times New Roman"/>
          <w:sz w:val="28"/>
          <w:szCs w:val="28"/>
          <w:lang w:val="en-US"/>
        </w:rPr>
        <w:br/>
      </w:r>
    </w:p>
    <w:p w:rsidR="00DF3344" w:rsidRDefault="00DF3344" w:rsidP="00DF3344">
      <w:pPr>
        <w:rPr>
          <w:rFonts w:ascii="Times New Roman" w:hAnsi="Times New Roman" w:cs="Times New Roman"/>
          <w:sz w:val="28"/>
          <w:szCs w:val="28"/>
          <w:lang w:val="en-US"/>
        </w:rPr>
      </w:pPr>
      <w:r w:rsidRPr="00B1183A">
        <w:rPr>
          <w:rFonts w:ascii="Times New Roman" w:hAnsi="Times New Roman" w:cs="Times New Roman"/>
          <w:sz w:val="28"/>
          <w:szCs w:val="28"/>
          <w:lang w:val="en-US"/>
        </w:rPr>
        <w:lastRenderedPageBreak/>
        <w:t>UDC 005 (083.13</w:t>
      </w:r>
      <w:proofErr w:type="gramStart"/>
      <w:r w:rsidRPr="00B1183A">
        <w:rPr>
          <w:rFonts w:ascii="Times New Roman" w:hAnsi="Times New Roman" w:cs="Times New Roman"/>
          <w:sz w:val="28"/>
          <w:szCs w:val="28"/>
          <w:lang w:val="en-US"/>
        </w:rPr>
        <w:t>)</w:t>
      </w:r>
      <w:proofErr w:type="gramEnd"/>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FB089D">
        <w:rPr>
          <w:rFonts w:ascii="Times New Roman" w:hAnsi="Times New Roman" w:cs="Times New Roman"/>
          <w:b/>
          <w:sz w:val="28"/>
          <w:szCs w:val="28"/>
          <w:lang w:val="en-US"/>
        </w:rPr>
        <w:t>Compiled</w:t>
      </w:r>
      <w:r>
        <w:rPr>
          <w:rFonts w:ascii="Times New Roman" w:hAnsi="Times New Roman" w:cs="Times New Roman"/>
          <w:b/>
          <w:sz w:val="28"/>
          <w:szCs w:val="28"/>
          <w:lang w:val="en-US"/>
        </w:rPr>
        <w:t xml:space="preserve"> by</w:t>
      </w:r>
      <w:r w:rsidRPr="002370E0">
        <w:rPr>
          <w:rFonts w:ascii="Times New Roman" w:hAnsi="Times New Roman" w:cs="Times New Roman"/>
          <w:b/>
          <w:sz w:val="28"/>
          <w:szCs w:val="28"/>
          <w:lang w:val="en-US"/>
        </w:rPr>
        <w:t xml:space="preserve"> </w:t>
      </w:r>
      <w:r w:rsidRPr="00FB089D">
        <w:rPr>
          <w:rFonts w:ascii="Times New Roman" w:hAnsi="Times New Roman" w:cs="Times New Roman"/>
          <w:b/>
          <w:sz w:val="28"/>
          <w:szCs w:val="28"/>
          <w:lang w:val="en-US"/>
        </w:rPr>
        <w:t>Shoraev  B.A.</w:t>
      </w:r>
      <w:r w:rsidR="00E95A9D">
        <w:rPr>
          <w:rFonts w:ascii="Times New Roman" w:hAnsi="Times New Roman" w:cs="Times New Roman"/>
          <w:b/>
          <w:sz w:val="28"/>
          <w:szCs w:val="28"/>
          <w:lang w:val="en-US"/>
        </w:rPr>
        <w:t>,</w:t>
      </w:r>
      <w:r w:rsidR="00E95A9D" w:rsidRPr="00E95A9D">
        <w:rPr>
          <w:rFonts w:ascii="Times New Roman" w:hAnsi="Times New Roman" w:cs="Times New Roman"/>
          <w:b/>
          <w:sz w:val="28"/>
          <w:szCs w:val="28"/>
          <w:lang w:val="en-US"/>
        </w:rPr>
        <w:t xml:space="preserve"> Saparaliev T.J.</w:t>
      </w:r>
      <w:r w:rsidRPr="00FB089D">
        <w:rPr>
          <w:rFonts w:ascii="Times New Roman" w:hAnsi="Times New Roman" w:cs="Times New Roman"/>
          <w:b/>
          <w:sz w:val="28"/>
          <w:szCs w:val="28"/>
          <w:lang w:val="en-US"/>
        </w:rPr>
        <w:br/>
      </w:r>
      <w:r>
        <w:rPr>
          <w:rFonts w:ascii="Times New Roman" w:hAnsi="Times New Roman" w:cs="Times New Roman"/>
          <w:sz w:val="28"/>
          <w:szCs w:val="28"/>
          <w:lang w:val="en-US"/>
        </w:rPr>
        <w:t xml:space="preserve">Lectures for subject </w:t>
      </w:r>
      <w:r w:rsidRPr="00B1183A">
        <w:rPr>
          <w:rFonts w:ascii="Times New Roman" w:hAnsi="Times New Roman" w:cs="Times New Roman"/>
          <w:sz w:val="28"/>
          <w:szCs w:val="28"/>
          <w:lang w:val="en-US"/>
        </w:rPr>
        <w:t>"</w:t>
      </w:r>
      <w:r>
        <w:rPr>
          <w:rFonts w:ascii="Times New Roman" w:hAnsi="Times New Roman" w:cs="Times New Roman"/>
          <w:b/>
          <w:sz w:val="28"/>
          <w:szCs w:val="28"/>
          <w:lang w:val="en-US"/>
        </w:rPr>
        <w:t>Finances  of foreign countries</w:t>
      </w:r>
      <w:r w:rsidRPr="00B1183A">
        <w:rPr>
          <w:rFonts w:ascii="Times New Roman" w:hAnsi="Times New Roman" w:cs="Times New Roman"/>
          <w:sz w:val="28"/>
          <w:szCs w:val="28"/>
          <w:lang w:val="en-US"/>
        </w:rPr>
        <w:t xml:space="preserve"> " - Shymkent: SKSU. </w:t>
      </w:r>
      <w:proofErr w:type="gramStart"/>
      <w:r w:rsidRPr="00B1183A">
        <w:rPr>
          <w:rFonts w:ascii="Times New Roman" w:hAnsi="Times New Roman" w:cs="Times New Roman"/>
          <w:sz w:val="28"/>
          <w:szCs w:val="28"/>
          <w:lang w:val="en-US"/>
        </w:rPr>
        <w:t>MO Auezov, 20</w:t>
      </w:r>
      <w:r>
        <w:rPr>
          <w:rFonts w:ascii="Times New Roman" w:hAnsi="Times New Roman" w:cs="Times New Roman"/>
          <w:sz w:val="28"/>
          <w:szCs w:val="28"/>
          <w:lang w:val="en-US"/>
        </w:rPr>
        <w:t>20</w:t>
      </w:r>
      <w:r w:rsidRPr="00B1183A">
        <w:rPr>
          <w:rFonts w:ascii="Times New Roman" w:hAnsi="Times New Roman" w:cs="Times New Roman"/>
          <w:sz w:val="28"/>
          <w:szCs w:val="28"/>
          <w:lang w:val="en-US"/>
        </w:rPr>
        <w:t>.-</w:t>
      </w:r>
      <w:r>
        <w:rPr>
          <w:rFonts w:ascii="Times New Roman" w:hAnsi="Times New Roman" w:cs="Times New Roman"/>
          <w:sz w:val="28"/>
          <w:szCs w:val="28"/>
          <w:lang w:val="en-US"/>
        </w:rPr>
        <w:t>146</w:t>
      </w:r>
      <w:r w:rsidRPr="00764130">
        <w:rPr>
          <w:rFonts w:ascii="Times New Roman" w:hAnsi="Times New Roman" w:cs="Times New Roman"/>
          <w:sz w:val="28"/>
          <w:szCs w:val="28"/>
          <w:lang w:val="en-US"/>
        </w:rPr>
        <w:t xml:space="preserve"> p.</w:t>
      </w:r>
      <w:proofErr w:type="gramEnd"/>
    </w:p>
    <w:p w:rsidR="00DF3344" w:rsidRDefault="00DF3344" w:rsidP="00DF3344">
      <w:pPr>
        <w:rPr>
          <w:rFonts w:ascii="Times New Roman" w:hAnsi="Times New Roman" w:cs="Times New Roman"/>
          <w:sz w:val="28"/>
          <w:szCs w:val="28"/>
          <w:lang w:val="en-US"/>
        </w:rPr>
      </w:pPr>
      <w:r w:rsidRPr="00764130">
        <w:rPr>
          <w:rFonts w:ascii="Times New Roman" w:hAnsi="Times New Roman" w:cs="Times New Roman"/>
          <w:sz w:val="28"/>
          <w:szCs w:val="28"/>
          <w:lang w:val="en-US"/>
        </w:rPr>
        <w:t>    </w:t>
      </w:r>
      <w:r w:rsidRPr="00764130">
        <w:rPr>
          <w:rFonts w:ascii="Times New Roman" w:hAnsi="Times New Roman" w:cs="Times New Roman"/>
          <w:sz w:val="28"/>
          <w:szCs w:val="28"/>
          <w:lang w:val="en-US"/>
        </w:rPr>
        <w:br/>
        <w:t>   </w:t>
      </w:r>
      <w:r>
        <w:rPr>
          <w:rFonts w:ascii="Times New Roman" w:hAnsi="Times New Roman" w:cs="Times New Roman"/>
          <w:sz w:val="28"/>
          <w:szCs w:val="28"/>
          <w:lang w:val="en-US"/>
        </w:rPr>
        <w:t>Lectures</w:t>
      </w:r>
      <w:r w:rsidRPr="00B1183A">
        <w:rPr>
          <w:rFonts w:ascii="Times New Roman" w:hAnsi="Times New Roman" w:cs="Times New Roman"/>
          <w:sz w:val="28"/>
          <w:szCs w:val="28"/>
          <w:lang w:val="en-US"/>
        </w:rPr>
        <w:t xml:space="preserve"> drawn up in accordance with the requirements of the curriculum and program of discipline "</w:t>
      </w:r>
      <w:proofErr w:type="gramStart"/>
      <w:r>
        <w:rPr>
          <w:rFonts w:ascii="Times New Roman" w:hAnsi="Times New Roman" w:cs="Times New Roman"/>
          <w:b/>
          <w:sz w:val="28"/>
          <w:szCs w:val="28"/>
          <w:lang w:val="en-US"/>
        </w:rPr>
        <w:t>Finances  of</w:t>
      </w:r>
      <w:proofErr w:type="gramEnd"/>
      <w:r>
        <w:rPr>
          <w:rFonts w:ascii="Times New Roman" w:hAnsi="Times New Roman" w:cs="Times New Roman"/>
          <w:b/>
          <w:sz w:val="28"/>
          <w:szCs w:val="28"/>
          <w:lang w:val="en-US"/>
        </w:rPr>
        <w:t xml:space="preserve"> foreign countries</w:t>
      </w:r>
      <w:r w:rsidRPr="00B1183A">
        <w:rPr>
          <w:rFonts w:ascii="Times New Roman" w:hAnsi="Times New Roman" w:cs="Times New Roman"/>
          <w:sz w:val="28"/>
          <w:szCs w:val="28"/>
          <w:lang w:val="en-US"/>
        </w:rPr>
        <w:t xml:space="preserve"> " and include all necessary information </w:t>
      </w:r>
      <w:r>
        <w:rPr>
          <w:rFonts w:ascii="Times New Roman" w:hAnsi="Times New Roman" w:cs="Times New Roman"/>
          <w:sz w:val="28"/>
          <w:szCs w:val="28"/>
          <w:lang w:val="en-US"/>
        </w:rPr>
        <w:t>for studying  the subject</w:t>
      </w:r>
      <w:r w:rsidRPr="00B1183A">
        <w:rPr>
          <w:rFonts w:ascii="Times New Roman" w:hAnsi="Times New Roman" w:cs="Times New Roman"/>
          <w:sz w:val="28"/>
          <w:szCs w:val="28"/>
          <w:lang w:val="en-US"/>
        </w:rPr>
        <w:t>.</w:t>
      </w:r>
      <w:r w:rsidRPr="00B1183A">
        <w:rPr>
          <w:rFonts w:ascii="Times New Roman" w:hAnsi="Times New Roman" w:cs="Times New Roman"/>
          <w:sz w:val="28"/>
          <w:szCs w:val="28"/>
          <w:lang w:val="en-US"/>
        </w:rPr>
        <w:br/>
      </w:r>
      <w:r>
        <w:rPr>
          <w:rFonts w:ascii="Times New Roman" w:hAnsi="Times New Roman" w:cs="Times New Roman"/>
          <w:sz w:val="28"/>
          <w:szCs w:val="28"/>
          <w:lang w:val="en-US"/>
        </w:rPr>
        <w:t xml:space="preserve">    Lectures</w:t>
      </w:r>
      <w:r w:rsidRPr="00B1183A">
        <w:rPr>
          <w:rFonts w:ascii="Times New Roman" w:hAnsi="Times New Roman" w:cs="Times New Roman"/>
          <w:sz w:val="28"/>
          <w:szCs w:val="28"/>
          <w:lang w:val="en-US"/>
        </w:rPr>
        <w:t xml:space="preserve"> are intended for students of specialties: 5</w:t>
      </w:r>
      <w:r>
        <w:rPr>
          <w:rFonts w:ascii="Times New Roman" w:hAnsi="Times New Roman" w:cs="Times New Roman"/>
          <w:sz w:val="28"/>
          <w:szCs w:val="28"/>
          <w:lang w:val="en-US"/>
        </w:rPr>
        <w:t>B</w:t>
      </w:r>
      <w:r w:rsidRPr="00B1183A">
        <w:rPr>
          <w:rFonts w:ascii="Times New Roman" w:hAnsi="Times New Roman" w:cs="Times New Roman"/>
          <w:sz w:val="28"/>
          <w:szCs w:val="28"/>
          <w:lang w:val="en-US"/>
        </w:rPr>
        <w:t>050900 "Finance"</w:t>
      </w:r>
      <w:r w:rsidRPr="00B1183A">
        <w:rPr>
          <w:rFonts w:ascii="Times New Roman" w:hAnsi="Times New Roman" w:cs="Times New Roman"/>
          <w:sz w:val="28"/>
          <w:szCs w:val="28"/>
          <w:lang w:val="en-US"/>
        </w:rPr>
        <w:br/>
        <w:t xml:space="preserve">   The </w:t>
      </w:r>
      <w:r>
        <w:rPr>
          <w:rFonts w:ascii="Times New Roman" w:hAnsi="Times New Roman" w:cs="Times New Roman"/>
          <w:sz w:val="28"/>
          <w:szCs w:val="28"/>
          <w:lang w:val="en-US"/>
        </w:rPr>
        <w:t>lectures</w:t>
      </w:r>
      <w:r w:rsidRPr="00B1183A">
        <w:rPr>
          <w:rFonts w:ascii="Times New Roman" w:hAnsi="Times New Roman" w:cs="Times New Roman"/>
          <w:sz w:val="28"/>
          <w:szCs w:val="28"/>
          <w:lang w:val="en-US"/>
        </w:rPr>
        <w:t xml:space="preserve"> presented findings and recommendations to the </w:t>
      </w:r>
      <w:r w:rsidRPr="00F64A9B">
        <w:rPr>
          <w:rFonts w:ascii="Times New Roman" w:hAnsi="Times New Roman" w:cs="Times New Roman"/>
          <w:sz w:val="28"/>
          <w:szCs w:val="28"/>
          <w:lang w:val="en-US"/>
        </w:rPr>
        <w:t>self</w:t>
      </w:r>
      <w:r w:rsidRPr="00B1183A">
        <w:rPr>
          <w:rFonts w:ascii="Times New Roman" w:hAnsi="Times New Roman" w:cs="Times New Roman"/>
          <w:sz w:val="28"/>
          <w:szCs w:val="28"/>
          <w:lang w:val="en-US"/>
        </w:rPr>
        <w:t xml:space="preserve"> independent work of students, taking into account the features of the course "</w:t>
      </w:r>
      <w:proofErr w:type="gramStart"/>
      <w:r>
        <w:rPr>
          <w:rFonts w:ascii="Times New Roman" w:hAnsi="Times New Roman" w:cs="Times New Roman"/>
          <w:b/>
          <w:sz w:val="28"/>
          <w:szCs w:val="28"/>
          <w:lang w:val="en-US"/>
        </w:rPr>
        <w:t>Finances  of</w:t>
      </w:r>
      <w:proofErr w:type="gramEnd"/>
      <w:r>
        <w:rPr>
          <w:rFonts w:ascii="Times New Roman" w:hAnsi="Times New Roman" w:cs="Times New Roman"/>
          <w:b/>
          <w:sz w:val="28"/>
          <w:szCs w:val="28"/>
          <w:lang w:val="en-US"/>
        </w:rPr>
        <w:t xml:space="preserve"> foreign countries</w:t>
      </w:r>
      <w:r w:rsidRPr="00B1183A">
        <w:rPr>
          <w:rFonts w:ascii="Times New Roman" w:hAnsi="Times New Roman" w:cs="Times New Roman"/>
          <w:sz w:val="28"/>
          <w:szCs w:val="28"/>
          <w:lang w:val="en-US"/>
        </w:rPr>
        <w:t xml:space="preserve"> " for full-time students. </w:t>
      </w:r>
    </w:p>
    <w:p w:rsidR="00DF3344" w:rsidRPr="003F6995" w:rsidRDefault="00DF3344" w:rsidP="00DF3344">
      <w:pPr>
        <w:rPr>
          <w:rFonts w:ascii="Times New Roman" w:hAnsi="Times New Roman" w:cs="Times New Roman"/>
          <w:sz w:val="28"/>
          <w:szCs w:val="28"/>
          <w:lang w:val="en-US"/>
        </w:rPr>
      </w:pPr>
      <w:r w:rsidRPr="00B1183A">
        <w:rPr>
          <w:rFonts w:ascii="Times New Roman" w:hAnsi="Times New Roman" w:cs="Times New Roman"/>
          <w:sz w:val="28"/>
          <w:szCs w:val="28"/>
          <w:lang w:val="en-US"/>
        </w:rPr>
        <w:t xml:space="preserve">These </w:t>
      </w:r>
      <w:r>
        <w:rPr>
          <w:rFonts w:ascii="Times New Roman" w:hAnsi="Times New Roman" w:cs="Times New Roman"/>
          <w:sz w:val="28"/>
          <w:szCs w:val="28"/>
          <w:lang w:val="en-US"/>
        </w:rPr>
        <w:t>lectures</w:t>
      </w:r>
      <w:r w:rsidRPr="00B1183A">
        <w:rPr>
          <w:rFonts w:ascii="Times New Roman" w:hAnsi="Times New Roman" w:cs="Times New Roman"/>
          <w:sz w:val="28"/>
          <w:szCs w:val="28"/>
          <w:lang w:val="en-US"/>
        </w:rPr>
        <w:t xml:space="preserve"> help to consolidate the theoretical material of the course by mastering modern knowledge in the field of state regulation of the different spheres and sectors of socio-economic life of that market conditions fundamentally necessary for sustained economic development of Kazakhstan.</w:t>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4D6581">
        <w:rPr>
          <w:rFonts w:ascii="Times New Roman" w:hAnsi="Times New Roman" w:cs="Times New Roman"/>
          <w:b/>
          <w:sz w:val="28"/>
          <w:szCs w:val="28"/>
          <w:lang w:val="en-US"/>
        </w:rPr>
        <w:t>Reviewers</w:t>
      </w:r>
      <w:proofErr w:type="gramStart"/>
      <w:r w:rsidRPr="004D6581">
        <w:rPr>
          <w:rFonts w:ascii="Times New Roman" w:hAnsi="Times New Roman" w:cs="Times New Roman"/>
          <w:b/>
          <w:sz w:val="28"/>
          <w:szCs w:val="28"/>
          <w:lang w:val="en-US"/>
        </w:rPr>
        <w:t>:</w:t>
      </w:r>
      <w:r w:rsidRPr="00B1183A">
        <w:rPr>
          <w:rFonts w:ascii="Times New Roman" w:hAnsi="Times New Roman" w:cs="Times New Roman"/>
          <w:sz w:val="28"/>
          <w:szCs w:val="28"/>
          <w:lang w:val="en-US"/>
        </w:rPr>
        <w:t>Mamutova</w:t>
      </w:r>
      <w:proofErr w:type="gramEnd"/>
      <w:r w:rsidRPr="00B1183A">
        <w:rPr>
          <w:rFonts w:ascii="Times New Roman" w:hAnsi="Times New Roman" w:cs="Times New Roman"/>
          <w:sz w:val="28"/>
          <w:szCs w:val="28"/>
          <w:lang w:val="en-US"/>
        </w:rPr>
        <w:t xml:space="preserve"> K.K.-to e.. n., associate professor of the department "Finance"  SKSU    M.O. A</w:t>
      </w:r>
      <w:r>
        <w:rPr>
          <w:rFonts w:ascii="Times New Roman" w:hAnsi="Times New Roman" w:cs="Times New Roman"/>
          <w:sz w:val="28"/>
          <w:szCs w:val="28"/>
          <w:lang w:val="en-US"/>
        </w:rPr>
        <w:t>uezov</w:t>
      </w:r>
      <w:r>
        <w:rPr>
          <w:rFonts w:ascii="Times New Roman" w:hAnsi="Times New Roman" w:cs="Times New Roman"/>
          <w:sz w:val="28"/>
          <w:szCs w:val="28"/>
          <w:lang w:val="en-US"/>
        </w:rPr>
        <w:br/>
        <w:t>                  </w:t>
      </w:r>
      <w:r>
        <w:rPr>
          <w:rFonts w:ascii="Times New Roman" w:hAnsi="Times New Roman" w:cs="Times New Roman"/>
          <w:sz w:val="28"/>
          <w:szCs w:val="28"/>
          <w:lang w:val="en-US"/>
        </w:rPr>
        <w:br/>
      </w:r>
      <w:r>
        <w:rPr>
          <w:rFonts w:ascii="Times New Roman" w:hAnsi="Times New Roman" w:cs="Times New Roman"/>
          <w:sz w:val="28"/>
          <w:szCs w:val="28"/>
          <w:lang w:val="en-US"/>
        </w:rPr>
        <w:br/>
      </w:r>
      <w:r w:rsidRPr="00B1183A">
        <w:rPr>
          <w:rFonts w:ascii="Times New Roman" w:hAnsi="Times New Roman" w:cs="Times New Roman"/>
          <w:sz w:val="28"/>
          <w:szCs w:val="28"/>
          <w:lang w:val="en-US"/>
        </w:rPr>
        <w:t>Reviewed and recommended to the press meeting of the department "Finance"</w:t>
      </w:r>
      <w:r w:rsidRPr="00B1183A">
        <w:rPr>
          <w:rFonts w:ascii="Times New Roman" w:hAnsi="Times New Roman" w:cs="Times New Roman"/>
          <w:sz w:val="28"/>
          <w:szCs w:val="28"/>
          <w:lang w:val="en-US"/>
        </w:rPr>
        <w:br/>
        <w:t>(Protocol</w:t>
      </w:r>
      <w:r>
        <w:rPr>
          <w:rFonts w:ascii="Times New Roman" w:hAnsi="Times New Roman" w:cs="Times New Roman"/>
          <w:sz w:val="28"/>
          <w:szCs w:val="28"/>
          <w:lang w:val="en-US"/>
        </w:rPr>
        <w:t xml:space="preserve"> number of ____ "____" ____ 2020</w:t>
      </w:r>
      <w:r w:rsidRPr="00B1183A">
        <w:rPr>
          <w:rFonts w:ascii="Times New Roman" w:hAnsi="Times New Roman" w:cs="Times New Roman"/>
          <w:sz w:val="28"/>
          <w:szCs w:val="28"/>
          <w:lang w:val="en-US"/>
        </w:rPr>
        <w:t>) and</w:t>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t>methodical commission of faculty "Economy and Finance"</w:t>
      </w:r>
      <w:r w:rsidRPr="00B1183A">
        <w:rPr>
          <w:rFonts w:ascii="Times New Roman" w:hAnsi="Times New Roman" w:cs="Times New Roman"/>
          <w:sz w:val="28"/>
          <w:szCs w:val="28"/>
          <w:lang w:val="en-US"/>
        </w:rPr>
        <w:br/>
        <w:t>(Protocol</w:t>
      </w:r>
      <w:r>
        <w:rPr>
          <w:rFonts w:ascii="Times New Roman" w:hAnsi="Times New Roman" w:cs="Times New Roman"/>
          <w:sz w:val="28"/>
          <w:szCs w:val="28"/>
          <w:lang w:val="en-US"/>
        </w:rPr>
        <w:t xml:space="preserve"> number of ____ "____" ____ 2020</w:t>
      </w:r>
      <w:r w:rsidRPr="00B1183A">
        <w:rPr>
          <w:rFonts w:ascii="Times New Roman" w:hAnsi="Times New Roman" w:cs="Times New Roman"/>
          <w:sz w:val="28"/>
          <w:szCs w:val="28"/>
          <w:lang w:val="en-US"/>
        </w:rPr>
        <w:t>.</w:t>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r>
      <w:r w:rsidRPr="00B1183A">
        <w:rPr>
          <w:rFonts w:ascii="Times New Roman" w:hAnsi="Times New Roman" w:cs="Times New Roman"/>
          <w:sz w:val="28"/>
          <w:szCs w:val="28"/>
          <w:lang w:val="en-US"/>
        </w:rPr>
        <w:br/>
        <w:t>© South Kazakhstan S</w:t>
      </w:r>
      <w:r>
        <w:rPr>
          <w:rFonts w:ascii="Times New Roman" w:hAnsi="Times New Roman" w:cs="Times New Roman"/>
          <w:sz w:val="28"/>
          <w:szCs w:val="28"/>
          <w:lang w:val="en-US"/>
        </w:rPr>
        <w:t>tate University. M.Auezova, 2020</w:t>
      </w:r>
    </w:p>
    <w:p w:rsidR="00DF3344" w:rsidRDefault="00DF3344" w:rsidP="00DF3344">
      <w:pPr>
        <w:rPr>
          <w:rFonts w:ascii="Times New Roman" w:hAnsi="Times New Roman" w:cs="Times New Roman"/>
          <w:b/>
          <w:sz w:val="28"/>
          <w:szCs w:val="28"/>
          <w:lang w:val="en-US"/>
        </w:rPr>
      </w:pPr>
    </w:p>
    <w:p w:rsidR="00DF3344" w:rsidRPr="00E95A9D" w:rsidRDefault="00DF3344" w:rsidP="00472A60">
      <w:pPr>
        <w:spacing w:after="0" w:line="240" w:lineRule="auto"/>
        <w:ind w:firstLine="709"/>
        <w:jc w:val="both"/>
        <w:rPr>
          <w:rFonts w:ascii="Times New Roman" w:hAnsi="Times New Roman" w:cs="Times New Roman"/>
          <w:b/>
          <w:sz w:val="24"/>
          <w:szCs w:val="24"/>
          <w:lang w:val="en-US"/>
        </w:rPr>
      </w:pPr>
    </w:p>
    <w:p w:rsidR="00DF3344" w:rsidRPr="00E95A9D" w:rsidRDefault="00DF3344" w:rsidP="00472A60">
      <w:pPr>
        <w:spacing w:after="0" w:line="240" w:lineRule="auto"/>
        <w:ind w:firstLine="709"/>
        <w:jc w:val="both"/>
        <w:rPr>
          <w:rFonts w:ascii="Times New Roman" w:hAnsi="Times New Roman" w:cs="Times New Roman"/>
          <w:b/>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roofErr w:type="gramStart"/>
      <w:r w:rsidRPr="00C40532">
        <w:rPr>
          <w:rFonts w:ascii="Times New Roman" w:hAnsi="Times New Roman" w:cs="Times New Roman"/>
          <w:b/>
          <w:sz w:val="24"/>
          <w:szCs w:val="24"/>
          <w:lang w:val="en-US"/>
        </w:rPr>
        <w:t>Theme 1.</w:t>
      </w:r>
      <w:proofErr w:type="gramEnd"/>
      <w:r w:rsidRPr="00C40532">
        <w:rPr>
          <w:rFonts w:ascii="Times New Roman" w:hAnsi="Times New Roman" w:cs="Times New Roman"/>
          <w:sz w:val="24"/>
          <w:szCs w:val="24"/>
          <w:lang w:val="en-US"/>
        </w:rPr>
        <w:t xml:space="preserve"> </w:t>
      </w:r>
      <w:r w:rsidRPr="00C40532">
        <w:rPr>
          <w:rFonts w:ascii="Times New Roman" w:hAnsi="Times New Roman" w:cs="Times New Roman"/>
          <w:b/>
          <w:sz w:val="24"/>
          <w:szCs w:val="24"/>
          <w:lang w:val="en-US"/>
        </w:rPr>
        <w:t>The essence of finance and financial policy</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p>
    <w:p w:rsidR="00472A60" w:rsidRPr="00C40532" w:rsidRDefault="00472A60" w:rsidP="00472A60">
      <w:pPr>
        <w:pStyle w:val="a4"/>
        <w:numPr>
          <w:ilvl w:val="0"/>
          <w:numId w:val="1"/>
        </w:numPr>
        <w:spacing w:after="0" w:line="240" w:lineRule="auto"/>
        <w:jc w:val="both"/>
        <w:rPr>
          <w:rFonts w:ascii="Times New Roman" w:hAnsi="Times New Roman" w:cs="Times New Roman"/>
          <w:b/>
          <w:sz w:val="24"/>
          <w:szCs w:val="24"/>
          <w:lang w:val="en-US"/>
        </w:rPr>
      </w:pPr>
      <w:proofErr w:type="gramStart"/>
      <w:r w:rsidRPr="00C40532">
        <w:rPr>
          <w:rFonts w:ascii="Times New Roman" w:hAnsi="Times New Roman" w:cs="Times New Roman"/>
          <w:b/>
          <w:sz w:val="24"/>
          <w:szCs w:val="24"/>
          <w:lang w:val="en-US"/>
        </w:rPr>
        <w:t>Introduction .</w:t>
      </w:r>
      <w:proofErr w:type="gramEnd"/>
      <w:r w:rsidRPr="00C40532">
        <w:rPr>
          <w:rFonts w:ascii="Times New Roman" w:hAnsi="Times New Roman" w:cs="Times New Roman"/>
          <w:b/>
          <w:sz w:val="24"/>
          <w:szCs w:val="24"/>
          <w:lang w:val="en-US"/>
        </w:rPr>
        <w:t xml:space="preserve"> Science of the Financial System in Economic Sciences.</w:t>
      </w:r>
    </w:p>
    <w:p w:rsidR="00472A60" w:rsidRPr="00C40532" w:rsidRDefault="00472A60" w:rsidP="00472A60">
      <w:pPr>
        <w:pStyle w:val="a4"/>
        <w:numPr>
          <w:ilvl w:val="0"/>
          <w:numId w:val="1"/>
        </w:numPr>
        <w:spacing w:after="0" w:line="240" w:lineRule="auto"/>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 Subject and method of finance. Objects and subjects of financial relations.</w:t>
      </w:r>
    </w:p>
    <w:p w:rsidR="00472A60" w:rsidRPr="00C40532" w:rsidRDefault="00472A60" w:rsidP="00472A60">
      <w:pPr>
        <w:pStyle w:val="a4"/>
        <w:numPr>
          <w:ilvl w:val="0"/>
          <w:numId w:val="1"/>
        </w:numPr>
        <w:spacing w:after="0" w:line="240" w:lineRule="auto"/>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Category of "finance". </w:t>
      </w:r>
    </w:p>
    <w:p w:rsidR="00472A60" w:rsidRPr="00C40532" w:rsidRDefault="00472A60" w:rsidP="00472A60">
      <w:pPr>
        <w:pStyle w:val="a4"/>
        <w:numPr>
          <w:ilvl w:val="0"/>
          <w:numId w:val="1"/>
        </w:numPr>
        <w:spacing w:after="0" w:line="240" w:lineRule="auto"/>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Public </w:t>
      </w:r>
      <w:proofErr w:type="gramStart"/>
      <w:r w:rsidRPr="00C40532">
        <w:rPr>
          <w:rFonts w:ascii="Times New Roman" w:hAnsi="Times New Roman" w:cs="Times New Roman"/>
          <w:b/>
          <w:sz w:val="24"/>
          <w:szCs w:val="24"/>
          <w:lang w:val="en-US"/>
        </w:rPr>
        <w:t>goods ,</w:t>
      </w:r>
      <w:proofErr w:type="gramEnd"/>
      <w:r w:rsidRPr="00C40532">
        <w:rPr>
          <w:rFonts w:ascii="Times New Roman" w:hAnsi="Times New Roman" w:cs="Times New Roman"/>
          <w:b/>
          <w:sz w:val="24"/>
          <w:szCs w:val="24"/>
          <w:lang w:val="en-US"/>
        </w:rPr>
        <w:t xml:space="preserve"> benefits, services.</w:t>
      </w:r>
    </w:p>
    <w:p w:rsidR="00472A60" w:rsidRPr="00C40532" w:rsidRDefault="00472A60" w:rsidP="00472A60">
      <w:pPr>
        <w:pStyle w:val="a4"/>
        <w:numPr>
          <w:ilvl w:val="0"/>
          <w:numId w:val="1"/>
        </w:numPr>
        <w:spacing w:after="0" w:line="240" w:lineRule="auto"/>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Financial economic category as a value. Reproductive process and finances.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1. Introduction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What role does finance have in the development of market-based economies? Early on, politicians and economists alike emphasized the importance of the financial system for the rise of capitalism, industrialization, and economic development. Smith (1776) pointed to the role of money in lowering transaction costs, thus permitting greater specialization, and fostering technological innovation. Alexander Hamilton (1781), one of the founding fathers of the United States, argued that “banks were the happiest engines that ever were invented” for spurring economic growth. Joseph Schumpeter argued in 1911 that financial intermediaries play a pivotal role in economic development because they choose which firms get to use society’s savings.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On the other hand, development economists for many decades have ignored the financial system and focused on other policy areas. Lucas (1988) described the role of finance in the growth process as overstated, and Robinson (1952) argued that financial development primarily follows economic growth. Following the seminal works by Goldsmith (1969), McKinnon (1973), and Shaw (1973), however, a large and still active theoretical and empirical literature has related financial development to the economic growth process. Empirical studies have found a positive impact of financial deepening on economic growth, statistically and economically significant. More recently, studies have related the development of the financial sector to other real sector outcomes, including the pattern of countries’ trade balance and changes in income distribution and poverty levels.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same mechanisms that underpin the positive role of finance, however, are also a source of risk and fragility. The history of finance is full of boom-and-bust cycles, bank failures, and systemic bank and currency crises (Reinhart and Rogoff, 2009). Just as there is a comprehensive literature on the impact of finance on growth, there is an equally important literature that has explored the causes and socioeconomic costs of financial fragility, including systemic banking crises. Historic analyses and case studies have given way to more systemic cross-country explorations of idiosyncratic and systemic banking distress and their determinants.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Given the importance of finance for growth, its inherent risks, and the large socioeconomic costs of banking crises, it is not surprising that the financial sector is often at the top of the policy agenda. However, the importance of access to credit as entry barrier into the real sector and the relative ease with which owners and creditors of financial institutions can be expropriated also makes financial sector policies an important tool in the political process. Subsidized credit programs and credit guarantees are often an easy and cheap tool of fiscal policy as they create contingent rather than real liabilities. The dependence of most real sector enterprises on access to external finance makes the financial sector critical in the attempt of ruling elites to entrench their socioeconomic dominance and prevent entry of competitors. The reliance of financial institutions and markets on contractual institutions makes them dependent on the political sphere.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recent crisis has brought these issues to the forefront of the academic and also political debate. The crisis has also shed doubt on the previous findings of a positive impact of finance on growth. How much finance is good for growth? Are financial crises too high a price for having a </w:t>
      </w:r>
      <w:r w:rsidRPr="00C40532">
        <w:rPr>
          <w:rFonts w:ascii="Times New Roman" w:hAnsi="Times New Roman" w:cs="Times New Roman"/>
          <w:sz w:val="24"/>
          <w:szCs w:val="24"/>
          <w:lang w:val="en-US"/>
        </w:rPr>
        <w:lastRenderedPageBreak/>
        <w:t xml:space="preserve">thriving financial system? Are credit boom-and-bust cycles behind economic cycles? What is the politics behind financial development and fragility?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financial sector </w:t>
      </w:r>
      <w:proofErr w:type="gramStart"/>
      <w:r w:rsidRPr="00C40532">
        <w:rPr>
          <w:rFonts w:ascii="Times New Roman" w:hAnsi="Times New Roman" w:cs="Times New Roman"/>
          <w:sz w:val="24"/>
          <w:szCs w:val="24"/>
          <w:lang w:val="en-US"/>
        </w:rPr>
        <w:t>depends</w:t>
      </w:r>
      <w:proofErr w:type="gramEnd"/>
      <w:r w:rsidRPr="00C40532">
        <w:rPr>
          <w:rFonts w:ascii="Times New Roman" w:hAnsi="Times New Roman" w:cs="Times New Roman"/>
          <w:sz w:val="24"/>
          <w:szCs w:val="24"/>
          <w:lang w:val="en-US"/>
        </w:rPr>
        <w:t xml:space="preserve"> as much as contractual institutions on property rights protection and thus the political structures of societies.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The role of financial systems in the economy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Financial systems, i.e. financial intermediaries and financial markets, channel funds from those who have savings to those who have more productive uses for them. They perform two main types of financial service that reduce the costs of moving funds between borrowers and lenders, leading to a more efficient allocation of resources and faster economic growth. These are the provision of liquidity and the transformation of the risk characteristics of assets.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Provision of liquidity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link between liquidity and economic performance arises because many high return investment projects require long-term commitments of capital, but risk adverse lenders (savers) are generally unwilling to delegate control over their savings to borrowers (investors) for long periods. Financial systems mobilise savings by agglomerating and pooling funds from disparate sources and creating small denomination instruments. These instruments provide opportunities for individuals to hold diversified portfolios. Without pooling individuals and households would have to buy and sell entire firms (Levine 1997).</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Diamond and Dybvig (1983) show how financial intermediaries can enhance risk sharing, which can be a precondition of liquidity, and can thus improve welfare. In their model, without an intermediary (such as a bank), all investors are locked into illiquid long-term investments that yield high payoffs only to those who consume at the end of the investment. Those who must consume early receive low payoffs because early consumption requires premature liquidation of long-term investments. When agents need to consume at different (random) times, an intermediary can improve risk sharing – by promising investors a higher payoff for early consumption and a lower payoff for late consumption relative to the non-intermediated case.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Financial markets can also transform illiquid assets (long-term capital investments in illiquid production processes) into liquid liabilities (financial instrument). With liquid financial markets savers/lenders can hold assets like equity or bonds, which can be quickly and easily converted into purchasing power, if they need to access their savings.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For lenders, the services performed by financial markets and intermediaries are substitutable around the desired risk, return and liquidity provided by particular investments. Financial intermediaries and markets make longer-term investments more attractive and facilitate investment in higher return, longer gestation investment and technologies. They provide different forms of finance to borrowers. Financial markets provide arms length debt or equity finance (to those firms able to access markets), often at a lower cost than finance from financial intermediaries.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Transformation of the risk characteristics of assets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second main service financial intermediaries and markets provide is the transformation of the risk characteristics of assets. Financial systems perform this function in at least two ways. First, they can enhance risk diversification and second, they resolve an information asymmetry problem that may otherwise prevent the exchange of goods and services, in this case the provision of capital (Akerlof 1970).</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Financial systems facilitate risk-sharing by reducing information and transactions costs. If there are costs associated with the channelling of funds between borrowers and lenders, financial systems can reduce the costs of holding a diversified portfolio of assets. Intermediaries perform this </w:t>
      </w:r>
      <w:r w:rsidRPr="00C40532">
        <w:rPr>
          <w:rFonts w:ascii="Times New Roman" w:hAnsi="Times New Roman" w:cs="Times New Roman"/>
          <w:sz w:val="24"/>
          <w:szCs w:val="24"/>
          <w:lang w:val="en-US"/>
        </w:rPr>
        <w:lastRenderedPageBreak/>
        <w:t xml:space="preserve">role by taking advantage of economies of </w:t>
      </w:r>
      <w:proofErr w:type="gramStart"/>
      <w:r w:rsidRPr="00C40532">
        <w:rPr>
          <w:rFonts w:ascii="Times New Roman" w:hAnsi="Times New Roman" w:cs="Times New Roman"/>
          <w:sz w:val="24"/>
          <w:szCs w:val="24"/>
          <w:lang w:val="en-US"/>
        </w:rPr>
        <w:t>scale,</w:t>
      </w:r>
      <w:proofErr w:type="gramEnd"/>
      <w:r w:rsidRPr="00C40532">
        <w:rPr>
          <w:rFonts w:ascii="Times New Roman" w:hAnsi="Times New Roman" w:cs="Times New Roman"/>
          <w:sz w:val="24"/>
          <w:szCs w:val="24"/>
          <w:lang w:val="en-US"/>
        </w:rPr>
        <w:t xml:space="preserve"> markets do so by facilitating the broad offer and trade of assets comprising investors’ portfolios.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Financial systems can reduce information and transaction costs that arise from an information asymmetry between borrowers and lenders. In credit markets an information asymmetry arises because borrowers generally know more about their investment projects than lenders. A borrower may have an entrepreneurial “gut feeling” that can not be communicated to lenders, or more simply, may have information about a looming financial risk to their firm that they may not wish to share with past or potential lenders. An information asymmetry can occur ex ante or ex post. An ex ante information asymmetry arises when lenders can not differentiate between borrowers with different credit risks before providing a loan and leads to an adverse selection problem. Adverse selection problems arise when lenders are more likely to make a loan to high-risk borrowers, because those who are willing to pay high interest rates will, on average, be worse risks. The information asymmetry problem occurs ex post when only borrowers, but not lenders, can observe actual returns after project completion. This leads to a moral hazard problem. Moral hazard problems arise when borrowers engage in activities that reduce the likelihood of their loan being repaid. They also arise when borrowers take excessive risk because the costs may fall more on lenders compared to the benefits, which can be captured by borrowers.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problem with imperfect information is that information is a “public good”. If costly privately-produced information can subsequently be used at less cost by other agents, there will be inadequate motivation to invest in the publicly optimal quantity of information (Hirshleifer and Riley 1979). The implication for financial intermediaries is as follows. Once financial intermediaries obtain information they must be able to obtain a market return on that information before any signalling of that information advantage results in it being bid away. If they can not prevent information from being revealed prior to obtaining that return, they will not commit the resources necessary to obtain it. One reason financial intermediaries can obtain information at a lower cost than individual lenders is that financial intermediation avoids duplication of the production of information faced by multiple individual lenders. Moreover, financial intermediaries develop special skills in evaluating prospective borrowers and investment projects. They can also exploit cross- customer information and re-use information over time. Financial intermediaries thus improve the screening of potential borrowers and investment projects before finance is committed and enforce monitoring and corporate control after investment projects have been funded. Financial intermediation thus leads to a more efficient allocation of capital. The information acquisition cost may be lowered further as financial intermediaries and borrowers develop long-run relationships (Petersen and Rajan 1994 and Faulkender and Petersen 2003).</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Financial markets create their own incentives to acquire and process information for listed firms. The larger and more liquid financial markets become the more incentive market participants have to collect information about these firms. However, because information is quickly revealed in financial markets through posted prices, there may be less of an incentive to use private resources to acquire information. In financial markets information is aggregated and disseminated through published prices, which means that agents who do not undertake the costly process of ex ante screening and ex post monitoring, can freely observe the information obtained by other investors as reflected in financial prices. Rules and regulation, such as continuous disclosure requirements, can help encourage the production of information.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Financial intermediaries and financial markets resolve ex post information asymmetries and the resulting moral hazard problem by improving the ability of investors to directly evaluate the returns to projects by monitoring, by increasing the ability of investors to influence management decisions and by facilitating the takeover of poorly managed firms. When these issues are not well managed, investors will not be willing to delegate control of their savings to borrowers. Diamond (1984), for example, develops a model in which the returns from firms’ investment projects are not </w:t>
      </w:r>
      <w:r w:rsidRPr="00C40532">
        <w:rPr>
          <w:rFonts w:ascii="Times New Roman" w:hAnsi="Times New Roman" w:cs="Times New Roman"/>
          <w:sz w:val="24"/>
          <w:szCs w:val="24"/>
          <w:lang w:val="en-US"/>
        </w:rPr>
        <w:lastRenderedPageBreak/>
        <w:t>known ex post to external investors, unless information is gathered to assess the outcome, i.e. there is “costly state verification” (Townsend 1979). This leads to a moral hazard problem. Moral hazard arises when a borrower engages in activities that reduce the likelihood of a loan being repaid. For example, when firms’ owners “siphon off” funds (legally or illegally) to themselves or their associates through loss-making contracts signed with associated firms.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pStyle w:val="a4"/>
        <w:numPr>
          <w:ilvl w:val="0"/>
          <w:numId w:val="7"/>
        </w:numPr>
        <w:spacing w:after="0" w:line="240" w:lineRule="auto"/>
        <w:rPr>
          <w:rFonts w:ascii="Times New Roman" w:hAnsi="Times New Roman" w:cs="Times New Roman"/>
          <w:b/>
          <w:sz w:val="24"/>
          <w:szCs w:val="24"/>
          <w:lang w:val="en-US"/>
        </w:rPr>
      </w:pPr>
      <w:r w:rsidRPr="00C40532">
        <w:rPr>
          <w:rFonts w:ascii="Times New Roman" w:hAnsi="Times New Roman" w:cs="Times New Roman"/>
          <w:b/>
          <w:sz w:val="24"/>
          <w:szCs w:val="24"/>
          <w:lang w:val="en-US"/>
        </w:rPr>
        <w:t>Subject and method of finance. Objects and subjects of financial relations.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Finance is a field that deals with the study of investments. It includes the dynamics of assets and liabilities over time under conditions of different degrees of uncertainty and risk. Finance can also be defined as the science of money management. A key point in finance is the time value of money, which states that purchasing power of one unit of </w:t>
      </w:r>
      <w:proofErr w:type="gramStart"/>
      <w:r w:rsidRPr="00C40532">
        <w:rPr>
          <w:rFonts w:ascii="Times New Roman" w:hAnsi="Times New Roman" w:cs="Times New Roman"/>
          <w:sz w:val="24"/>
          <w:szCs w:val="24"/>
          <w:lang w:val="en-US"/>
        </w:rPr>
        <w:t>currency</w:t>
      </w:r>
      <w:proofErr w:type="gramEnd"/>
      <w:r w:rsidRPr="00C40532">
        <w:rPr>
          <w:rFonts w:ascii="Times New Roman" w:hAnsi="Times New Roman" w:cs="Times New Roman"/>
          <w:sz w:val="24"/>
          <w:szCs w:val="24"/>
          <w:lang w:val="en-US"/>
        </w:rPr>
        <w:t xml:space="preserve"> can vary over time. Finance aims to price assets based on their risk level and their expected rate of return. Finance can be broken into three different sub-categories: public finance, corporate finance and personal finance.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b/>
          <w:sz w:val="24"/>
          <w:szCs w:val="24"/>
          <w:lang w:val="en-US"/>
        </w:rPr>
        <w:t>Personal finance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Questions in personal finance revolve around:</w:t>
      </w:r>
    </w:p>
    <w:p w:rsidR="00472A60" w:rsidRPr="00C40532" w:rsidRDefault="00472A60" w:rsidP="00472A60">
      <w:pPr>
        <w:pStyle w:val="a4"/>
        <w:numPr>
          <w:ilvl w:val="0"/>
          <w:numId w:val="3"/>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Protection against unforeseen personal events, as well as events in the wider economies</w:t>
      </w:r>
    </w:p>
    <w:p w:rsidR="00472A60" w:rsidRPr="00C40532" w:rsidRDefault="00472A60" w:rsidP="00472A60">
      <w:pPr>
        <w:pStyle w:val="a4"/>
        <w:numPr>
          <w:ilvl w:val="0"/>
          <w:numId w:val="3"/>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Transference of family across generations (bequests and inheritance)</w:t>
      </w:r>
    </w:p>
    <w:p w:rsidR="00472A60" w:rsidRPr="00C40532" w:rsidRDefault="00472A60" w:rsidP="00472A60">
      <w:pPr>
        <w:pStyle w:val="a4"/>
        <w:numPr>
          <w:ilvl w:val="0"/>
          <w:numId w:val="3"/>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Effects of tax policies (tax subsidies and/or penalties) on management of personal finances</w:t>
      </w:r>
    </w:p>
    <w:p w:rsidR="00472A60" w:rsidRPr="00C40532" w:rsidRDefault="00472A60" w:rsidP="00472A60">
      <w:pPr>
        <w:pStyle w:val="a4"/>
        <w:numPr>
          <w:ilvl w:val="0"/>
          <w:numId w:val="3"/>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Effects of credit on individual financial standing</w:t>
      </w:r>
    </w:p>
    <w:p w:rsidR="00472A60" w:rsidRPr="00C40532" w:rsidRDefault="00472A60" w:rsidP="00472A60">
      <w:pPr>
        <w:pStyle w:val="a4"/>
        <w:numPr>
          <w:ilvl w:val="0"/>
          <w:numId w:val="3"/>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Development of a savings plan or financing for large purchases (auto, education, home)</w:t>
      </w:r>
    </w:p>
    <w:p w:rsidR="00472A60" w:rsidRPr="00C40532" w:rsidRDefault="00472A60" w:rsidP="00472A60">
      <w:pPr>
        <w:pStyle w:val="a4"/>
        <w:numPr>
          <w:ilvl w:val="0"/>
          <w:numId w:val="3"/>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Planning a secure financial future in an environment of economic instability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Personal finance may involve paying for education, financing durable goods such as real estate and cars, buying insurance, e.g. health and property insurance, investing and saving for retirement.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Personal finance may also involve paying for a loan, or debt obligations. The six key areas of personal financial planning, as suggested by the Financial Planning Standards Board, are: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i/>
          <w:sz w:val="24"/>
          <w:szCs w:val="24"/>
          <w:lang w:val="en-US"/>
        </w:rPr>
        <w:t>Financial position</w:t>
      </w:r>
      <w:r w:rsidRPr="00C40532">
        <w:rPr>
          <w:rFonts w:ascii="Times New Roman" w:hAnsi="Times New Roman" w:cs="Times New Roman"/>
          <w:sz w:val="24"/>
          <w:szCs w:val="24"/>
          <w:lang w:val="en-US"/>
        </w:rPr>
        <w:t>: is concerned with understanding the personal resources available by examining net worth and household cash flow. Net worth is a person's balance sheet, calculated by adding up all assets under that person's control, minus all liabilities of the household, at one point in time. Household cash flow totals up all the expected sources of income within a year, minus all expected expenses within the same year. From this analysis, the financial planner can determine to what degree and in what time the personal goals can be accomplished.</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i/>
          <w:sz w:val="24"/>
          <w:szCs w:val="24"/>
          <w:lang w:val="en-US"/>
        </w:rPr>
        <w:t>Adequate protection</w:t>
      </w:r>
      <w:r w:rsidRPr="00C40532">
        <w:rPr>
          <w:rFonts w:ascii="Times New Roman" w:hAnsi="Times New Roman" w:cs="Times New Roman"/>
          <w:sz w:val="24"/>
          <w:szCs w:val="24"/>
          <w:lang w:val="en-US"/>
        </w:rPr>
        <w:t>: the analysis of how to protect a household from unforeseen risks. These risks can be divided into liability, property, death, disability, health and long term care. Some of these risks may be self-insurable, while most will require the purchase of an insurance contract. Determining how much insurance to get, at the most cost effective terms requires knowledge of the market for personal insurance. Business owners, professionals, athletes and entertainers require specialized insurance professionals to adequately protect themselves. Since insurance also enjoys some tax benefits, utilizing insurance investment products may be a critical piece of the overall investment planning.</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i/>
          <w:sz w:val="24"/>
          <w:szCs w:val="24"/>
          <w:lang w:val="en-US"/>
        </w:rPr>
        <w:t>Tax planning</w:t>
      </w:r>
      <w:r w:rsidRPr="00C40532">
        <w:rPr>
          <w:rFonts w:ascii="Times New Roman" w:hAnsi="Times New Roman" w:cs="Times New Roman"/>
          <w:sz w:val="24"/>
          <w:szCs w:val="24"/>
          <w:lang w:val="en-US"/>
        </w:rPr>
        <w:t xml:space="preserve">: typically the income tax is the single largest expense in a household. Managing taxes is not a question of if you will pay taxes, but when and how much. Government gives many incentives in the form of tax deductions and credits, which can be used to reduce the lifetime tax burden. Most modern governments use a progressive tax. Typically, as one's income grows, a higher marginal rate of tax must be paid. Understanding how to take advantage of the </w:t>
      </w:r>
      <w:r w:rsidRPr="00C40532">
        <w:rPr>
          <w:rFonts w:ascii="Times New Roman" w:hAnsi="Times New Roman" w:cs="Times New Roman"/>
          <w:sz w:val="24"/>
          <w:szCs w:val="24"/>
          <w:lang w:val="en-US"/>
        </w:rPr>
        <w:lastRenderedPageBreak/>
        <w:t>myriad tax breaks when planning one's personal finances can make a significant impact in which it can later save you money in the long term.</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i/>
          <w:sz w:val="24"/>
          <w:szCs w:val="24"/>
          <w:lang w:val="en-US"/>
        </w:rPr>
        <w:t>Investment and accumulation goals</w:t>
      </w:r>
      <w:r w:rsidRPr="00C40532">
        <w:rPr>
          <w:rFonts w:ascii="Times New Roman" w:hAnsi="Times New Roman" w:cs="Times New Roman"/>
          <w:sz w:val="24"/>
          <w:szCs w:val="24"/>
          <w:lang w:val="en-US"/>
        </w:rPr>
        <w:t>: planning how to accumulate enough money - for large purchases and life events - is what most people consider to be financial planning. Major reasons to accumulate assets include, purchasing a house or car, starting a business, paying for education expenses, and saving for retirement. Achieving these goals requires projecting what they will cost, and when you need to withdraw funds that will be necessary to be able to achieve these goals. A major risk to the household in achieving their accumulation goal is the rate of price increases over time, or inflation. Using net present value calculators, the financial planner will suggest a combination of asset earmarking and regular savings to be invested in a variety of investments. In order to overcome the rate of inflation, the investment portfolio has to get a higher rate of return, which typically will subject the portfolio to a number of risks. Managing these portfolio risks is most often accomplished using asset allocation, which seeks to diversify investment risk and opportunity. This asset allocation will prescribe a percentage allocation to be invested in stocks (either preferred stock and/or common stock), bonds (for example mutual bonds or government bonds, or corporate bonds), cash and alternative investments. The allocation should also take into consideration the personal risk profile of every investor, since risk attitudes vary from person to person.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Retirement planning is the process of understanding how much it costs to live at </w:t>
      </w:r>
      <w:proofErr w:type="gramStart"/>
      <w:r w:rsidRPr="00C40532">
        <w:rPr>
          <w:rFonts w:ascii="Times New Roman" w:hAnsi="Times New Roman" w:cs="Times New Roman"/>
          <w:sz w:val="24"/>
          <w:szCs w:val="24"/>
          <w:lang w:val="en-US"/>
        </w:rPr>
        <w:t>retirement,</w:t>
      </w:r>
      <w:proofErr w:type="gramEnd"/>
      <w:r w:rsidRPr="00C40532">
        <w:rPr>
          <w:rFonts w:ascii="Times New Roman" w:hAnsi="Times New Roman" w:cs="Times New Roman"/>
          <w:sz w:val="24"/>
          <w:szCs w:val="24"/>
          <w:lang w:val="en-US"/>
        </w:rPr>
        <w:t xml:space="preserve"> and coming up with a plan to distribute assets to meet any income shortfall. Methods for retirement plan include taking advantage of government allowed structures to manage tax liability including: individual (IRA) </w:t>
      </w:r>
      <w:proofErr w:type="gramStart"/>
      <w:r w:rsidRPr="00C40532">
        <w:rPr>
          <w:rFonts w:ascii="Times New Roman" w:hAnsi="Times New Roman" w:cs="Times New Roman"/>
          <w:sz w:val="24"/>
          <w:szCs w:val="24"/>
          <w:lang w:val="en-US"/>
        </w:rPr>
        <w:t>structures,</w:t>
      </w:r>
      <w:proofErr w:type="gramEnd"/>
      <w:r w:rsidRPr="00C40532">
        <w:rPr>
          <w:rFonts w:ascii="Times New Roman" w:hAnsi="Times New Roman" w:cs="Times New Roman"/>
          <w:sz w:val="24"/>
          <w:szCs w:val="24"/>
          <w:lang w:val="en-US"/>
        </w:rPr>
        <w:t xml:space="preserve"> or employer sponsored retirement plans.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Estate planning involves planning for the disposition of one's assets after death. Typically, there is a tax due to the state or federal government at one's death. </w:t>
      </w:r>
      <w:proofErr w:type="gramStart"/>
      <w:r w:rsidRPr="00C40532">
        <w:rPr>
          <w:rFonts w:ascii="Times New Roman" w:hAnsi="Times New Roman" w:cs="Times New Roman"/>
          <w:sz w:val="24"/>
          <w:szCs w:val="24"/>
          <w:lang w:val="en-US"/>
        </w:rPr>
        <w:t>Avoiding these taxes means that more of one's assets will be distributed to one's heirs.</w:t>
      </w:r>
      <w:proofErr w:type="gramEnd"/>
      <w:r w:rsidRPr="00C40532">
        <w:rPr>
          <w:rFonts w:ascii="Times New Roman" w:hAnsi="Times New Roman" w:cs="Times New Roman"/>
          <w:sz w:val="24"/>
          <w:szCs w:val="24"/>
          <w:lang w:val="en-US"/>
        </w:rPr>
        <w:t xml:space="preserve"> One can leave one's assets to family, friends or charitable groups.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Corporate finance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Corporate finance deals with the sources of funding and the capital structure of corporations and the actions that managers take to increase the value of the firm to the shareholders, as well as the tools and analysis used to allocate financial resources. Although it is in principle different from managerial finance which studies the financial management of all firms, rather than corporations alone, the main concepts in the study of corporate finance are applicable to the financial problems of all kinds of firms. Corporate finance generally involves balancing risk and profitability, while attempting to maximize an entity's assets, net incoming cash flow and the value of its stock, and generically entails three primary areas of capital resource allocation. In the first, "capital budgeting", management must choose which "projects" (if any) to undertake. The discipline of capital budgeting may employ standard business valuation techniques or even extend to real options valuation; see Financial modeling. The second, "sources of capital" relates to how these investments are to be funded: investment capital can be provided through different sources, such as by shareholders, in the form of equity (privately or via an initial public offering), creditors, often in the form of bonds, and the firm's operations (cash flow). Short-term funding or working capital is mostly provided by banks extending a line of credit. The balance between these elements forms the company's capital structure. The third, "the dividend policy", requires management to determine whether any </w:t>
      </w:r>
      <w:proofErr w:type="gramStart"/>
      <w:r w:rsidRPr="00C40532">
        <w:rPr>
          <w:rFonts w:ascii="Times New Roman" w:hAnsi="Times New Roman" w:cs="Times New Roman"/>
          <w:sz w:val="24"/>
          <w:szCs w:val="24"/>
          <w:lang w:val="en-US"/>
        </w:rPr>
        <w:t>unappropriated  profit</w:t>
      </w:r>
      <w:proofErr w:type="gramEnd"/>
      <w:r w:rsidRPr="00C40532">
        <w:rPr>
          <w:rFonts w:ascii="Times New Roman" w:hAnsi="Times New Roman" w:cs="Times New Roman"/>
          <w:sz w:val="24"/>
          <w:szCs w:val="24"/>
          <w:lang w:val="en-US"/>
        </w:rPr>
        <w:t xml:space="preserve"> (excess cash) is to be retained for future investment / operational requirements, or instead to be distributed to shareholders, and if so in what form. Short term financial management is often termed "working capital management", and relates to cash-, inventory- and debtors management.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Corporate finance also includes within its scope business valuation, stock investing, or investment management. An investment is an acquisition of an asset in the hope that it will maintain or increase its value over time that will in hope give back a higher rate of return when it comes to disbursing dividends. In investment management – in choosing a portfolio – one has to use financial analysis to determine what, how much and when to invest. To do this, a company must:</w:t>
      </w:r>
    </w:p>
    <w:p w:rsidR="00472A60" w:rsidRPr="00C40532" w:rsidRDefault="00472A60" w:rsidP="00472A60">
      <w:pPr>
        <w:pStyle w:val="a4"/>
        <w:numPr>
          <w:ilvl w:val="0"/>
          <w:numId w:val="4"/>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Identify relevant objectives and constraints: institution or individual goals, time horizon, risk aversion and tax considerations;</w:t>
      </w:r>
    </w:p>
    <w:p w:rsidR="00472A60" w:rsidRPr="00C40532" w:rsidRDefault="00472A60" w:rsidP="00472A60">
      <w:pPr>
        <w:pStyle w:val="a4"/>
        <w:numPr>
          <w:ilvl w:val="0"/>
          <w:numId w:val="4"/>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Identify the appropriate strategy: active versus passive hedging strategy</w:t>
      </w:r>
    </w:p>
    <w:p w:rsidR="00472A60" w:rsidRPr="00C40532" w:rsidRDefault="00472A60" w:rsidP="00472A60">
      <w:pPr>
        <w:pStyle w:val="a4"/>
        <w:numPr>
          <w:ilvl w:val="0"/>
          <w:numId w:val="4"/>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Measure the portfolio performance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Financial management overlaps with the financial function of the accounting profession. However, financial accounting is the reporting of historical financial information, while financial management is concerned with the allocation of capital resources to increase a firm's value to the shareholders and increase their rate of return on the investments.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Financial services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An entity whose income exceeds its expenditure can lend or invest the excess income to help that excess income produce more income in the future. Though on the other hand, an entity whose income is less than its expenditure can raise capital by borrowing or selling equity claims, decreasing its expenses, or increasing its income. The lender can find a borrower—a financial intermediary such as a bank—or buy notes or bonds (corporate bonds, government bonds, or mutual bonds) in the bond market. The lender receives interest, the borrower pays a higher interest than the lender receives, and the financial intermediary earns the difference for arranging the loan.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 bank aggregates the activities of many borrowers and lenders. A bank accepts deposits from lenders, on which it pays interest. The bank then lends these deposits to borrowers. Banks allow borrowers and lenders, of different sizes, to coordinate their activity.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Finance is used by individuals (personal finance), by governments (public finance), by businesses (corporate finance) and by a wide variety of other organizations such as including schools and non-profit organizations. In general, the goals of each of the above activities are achieved through the use of appropriate financial instruments and methodologies, with consideration to their institutional setting.</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Finance is one of the most important aspects of business management and includes analysis related to the use and acquisition of funds for the enterprise.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corporate finance, a company's capital structure is the total mix of financing methods it uses to raise funds. One method is debt financing, which includes bank loans and bond sales. Another method is equity financing - the sale of stock by a company to investors, the original shareholders (they own a portion of the business) of a share. Ownership of a share gives the shareholder certain contractual rights and powers, which typically include the right to receive declared dividends and to vote the proxy on important matters (e.g., board elections). The owners of both bonds (either government bonds or corporate bonds) and stock (whether its preferred stock or common stock), may be institutional investors - financial institutions such as investment banks and pension </w:t>
      </w:r>
      <w:proofErr w:type="gramStart"/>
      <w:r w:rsidRPr="00C40532">
        <w:rPr>
          <w:rFonts w:ascii="Times New Roman" w:hAnsi="Times New Roman" w:cs="Times New Roman"/>
          <w:sz w:val="24"/>
          <w:szCs w:val="24"/>
          <w:lang w:val="en-US"/>
        </w:rPr>
        <w:t>funds  or</w:t>
      </w:r>
      <w:proofErr w:type="gramEnd"/>
      <w:r w:rsidRPr="00C40532">
        <w:rPr>
          <w:rFonts w:ascii="Times New Roman" w:hAnsi="Times New Roman" w:cs="Times New Roman"/>
          <w:sz w:val="24"/>
          <w:szCs w:val="24"/>
          <w:lang w:val="en-US"/>
        </w:rPr>
        <w:t xml:space="preserve"> private individuals, called private investors or retail investors.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Public finance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Public finance describes finance as related to sovereign states and sub-national entities (states/provinces, counties, municipalities, etc.) and related public entities (e.g. school districts) or agencies. It usually encompasses a long-term, strategic perspective regarding investment decisions that affect public entities. These long-term, strategic periods usually encompass five or more years. Public finance is primarily concerned with:</w:t>
      </w:r>
    </w:p>
    <w:p w:rsidR="00472A60" w:rsidRPr="00C40532" w:rsidRDefault="00472A60" w:rsidP="00472A60">
      <w:pPr>
        <w:pStyle w:val="a4"/>
        <w:numPr>
          <w:ilvl w:val="0"/>
          <w:numId w:val="5"/>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Identification of required expenditure of a public sector entity</w:t>
      </w:r>
    </w:p>
    <w:p w:rsidR="00472A60" w:rsidRPr="00C40532" w:rsidRDefault="00472A60" w:rsidP="00472A60">
      <w:pPr>
        <w:pStyle w:val="a4"/>
        <w:numPr>
          <w:ilvl w:val="0"/>
          <w:numId w:val="5"/>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Source(s) of that entity's revenue</w:t>
      </w:r>
    </w:p>
    <w:p w:rsidR="00472A60" w:rsidRPr="00C40532" w:rsidRDefault="00472A60" w:rsidP="00472A60">
      <w:pPr>
        <w:pStyle w:val="a4"/>
        <w:numPr>
          <w:ilvl w:val="0"/>
          <w:numId w:val="5"/>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budgeting process</w:t>
      </w:r>
    </w:p>
    <w:p w:rsidR="00472A60" w:rsidRPr="00C40532" w:rsidRDefault="00472A60" w:rsidP="00472A60">
      <w:pPr>
        <w:pStyle w:val="a4"/>
        <w:numPr>
          <w:ilvl w:val="0"/>
          <w:numId w:val="5"/>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Debt issuance (municipal bonds) for public works projects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Central banks, such as the Federal Reserve System banks in the United States and Bank of England in the United Kingdom, are strong players in public finance, acting as lenders of last resort as well as strong influences on monetary and credit conditions in the economy.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Finance is a relatively new and rapidly growing discipline that examines the acquisition and allocation of financial resources. Where financial accounting measures past performance, Finance as a discipline is forward-focused. It is largely about future planning for firms or investors.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Finance consists of three interrelated subject areas:</w:t>
      </w:r>
    </w:p>
    <w:p w:rsidR="00472A60" w:rsidRPr="00C40532" w:rsidRDefault="00472A60" w:rsidP="00472A60">
      <w:pPr>
        <w:pStyle w:val="a4"/>
        <w:numPr>
          <w:ilvl w:val="0"/>
          <w:numId w:val="6"/>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corporate finance studies how firms raise and efficiently utilise funds obtained from lenders and shareholders</w:t>
      </w:r>
    </w:p>
    <w:p w:rsidR="00472A60" w:rsidRPr="00C40532" w:rsidRDefault="00472A60" w:rsidP="00472A60">
      <w:pPr>
        <w:pStyle w:val="a4"/>
        <w:numPr>
          <w:ilvl w:val="0"/>
          <w:numId w:val="6"/>
        </w:num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financial markets and institutions explores how the financial system facilitates the transfer of funds from savers and lenders to borrowers</w:t>
      </w:r>
    </w:p>
    <w:p w:rsidR="00472A60" w:rsidRPr="00C40532" w:rsidRDefault="00472A60" w:rsidP="00472A60">
      <w:pPr>
        <w:pStyle w:val="a4"/>
        <w:numPr>
          <w:ilvl w:val="0"/>
          <w:numId w:val="6"/>
        </w:numPr>
        <w:spacing w:after="0" w:line="240" w:lineRule="auto"/>
        <w:jc w:val="both"/>
        <w:rPr>
          <w:rFonts w:ascii="Times New Roman" w:hAnsi="Times New Roman" w:cs="Times New Roman"/>
          <w:sz w:val="24"/>
          <w:szCs w:val="24"/>
          <w:lang w:val="en-US"/>
        </w:rPr>
      </w:pPr>
      <w:proofErr w:type="gramStart"/>
      <w:r w:rsidRPr="00C40532">
        <w:rPr>
          <w:rFonts w:ascii="Times New Roman" w:hAnsi="Times New Roman" w:cs="Times New Roman"/>
          <w:sz w:val="24"/>
          <w:szCs w:val="24"/>
          <w:lang w:val="en-US"/>
        </w:rPr>
        <w:t>investment</w:t>
      </w:r>
      <w:proofErr w:type="gramEnd"/>
      <w:r w:rsidRPr="00C40532">
        <w:rPr>
          <w:rFonts w:ascii="Times New Roman" w:hAnsi="Times New Roman" w:cs="Times New Roman"/>
          <w:sz w:val="24"/>
          <w:szCs w:val="24"/>
          <w:lang w:val="en-US"/>
        </w:rPr>
        <w:t xml:space="preserve"> analysis studies how investors choose securities and asset classes for their investment portfolios.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All of these areas assess the trade-off between risk and reward and the valuation of both financial and capital assets.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pStyle w:val="a4"/>
        <w:numPr>
          <w:ilvl w:val="0"/>
          <w:numId w:val="2"/>
        </w:numPr>
        <w:spacing w:after="0" w:line="240" w:lineRule="auto"/>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Category of "finance".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What role does the financial sector play in market economies? How important is the financial sector in the growth process of countries? Over the past thirty years, a flourishing theoretical literature has explained the endogenous emergence of financial institutions and markets and has explored their impact on real sector outcomes, including economic growth and income inequality. Over the past twenty years, a still growing empirical literature has explored the effect of financial systems and their different segments on economic growth and other real sector variables. This literature has also explored the relative importance of banks and markets and the impact of financial sector development on other real sector outcomes. More recently, this literature has explored the distributional repercussions of financial deepening and the effect of broadening. I discuss each in turn.</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Finance and Growth: Theory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theoretical literature on financial intermediation has focused on two important dimensions. Why do financial markets and institutions exist? And what is their impact on savings, investment, and economic growth? I discuss each question in turn.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At the core of the existence of financial institutions and markets are market frictions, which financial institutions and markets can </w:t>
      </w:r>
      <w:proofErr w:type="gramStart"/>
      <w:r w:rsidRPr="00C40532">
        <w:rPr>
          <w:rFonts w:ascii="Times New Roman" w:hAnsi="Times New Roman" w:cs="Times New Roman"/>
          <w:sz w:val="24"/>
          <w:szCs w:val="24"/>
          <w:lang w:val="en-US"/>
        </w:rPr>
        <w:t>help</w:t>
      </w:r>
      <w:proofErr w:type="gramEnd"/>
      <w:r w:rsidRPr="00C40532">
        <w:rPr>
          <w:rFonts w:ascii="Times New Roman" w:hAnsi="Times New Roman" w:cs="Times New Roman"/>
          <w:sz w:val="24"/>
          <w:szCs w:val="24"/>
          <w:lang w:val="en-US"/>
        </w:rPr>
        <w:t xml:space="preserve"> alleviate, such as asymmetric information between contractual partners resulting in agency problems and risks of illiquidity and default.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Building on the insights by Stiglitz and Weiss (1983) on the importance of agency problems, several articles have shown how financial institutions and markets can economize on screening and monitoring costs of many individual lenders and, by diversifying risk across many different projects, improve on a world without them. By pooling savings across a large number of savers with differently timed liquidity needs, financial institutions can help overcome liquidity risks and ultimately provide savers with a higher return. Similarly, more liquid financial markets increase incentives for investors to relinquish control over their savings, as they are able to access them through financial markets on an immediate basis, while at the same time earning higher returns. The </w:t>
      </w:r>
      <w:r w:rsidRPr="00C40532">
        <w:rPr>
          <w:rFonts w:ascii="Times New Roman" w:hAnsi="Times New Roman" w:cs="Times New Roman"/>
          <w:sz w:val="24"/>
          <w:szCs w:val="24"/>
          <w:lang w:val="en-US"/>
        </w:rPr>
        <w:lastRenderedPageBreak/>
        <w:t>emergence of financial institutions and markets can thus be explained by the gains for economic agents, a theoretical argument that is consistent with the historical observance that financial institutions and markets have arisen at an early stage of human history and especially as exchange of goods and services across larger geographical distances and within larger societies or between societies has become more prominent.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endogenous emergence of financial institutions and markets does not in itself imply a positive impact on economic growth. A large theoretical literature, however, has explored several channels through which financial systems can help increase economic growth rates, both through improved capital accumulation as through higher productivity growth. On a broader level, these theories have shown how financial markets can help overcome the market frictions of indivisible projects and inability to diversify risks that have held back development in many developing economies (Acemoglu and Zilibotti, 1997). We can discuss these different channels in turn.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First, and on a very basic level, financial systems can support the efficient exchange of goods and services by providing payment services and thus reducing transaction costs. Financial services can foster specialization by enabling more transactions, thus fostering productivity growth.</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Second, by pooling savings from many individual savers, financial institutions and markets can help overcome investment indivisibilities and allow exploiting scale economies.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This does not necessarily have to be national financial institutions but can be local coalitions of investors, as was the case in the early days of the Industrial Revolution for infrastructure projects.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Third, by economizing on screening and monitoring costs and thus allowing more investment projects to be financed and, ex ante, increasing the aggregate success probability, financial institutions and markets can ultimately have a positive impact on investment and resource allocation. Similarly, by identifying the entrepreneurs with the most promising technologies, financial intermediaries can also boost the rate of technological innovation and ultimately growth.</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A similar argument holds for financial markets: in larger and more liquid markets, agents have greater incentives to invest in research on enterprises and projects, which produces information that can be turned into trading gains, ultimately improving resource allocation.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Fourth, both financial institutions and markets can help monitor enterprises and reduce agency problems within firms between management and majority and minority shareholders, again improving resource allocation. Debt instruments can reduce the amount of free cash available to firms and thus managerial slack (Aghion, Dewatripont, and Rey, 1999), while liquid stock exchanges can allow investors to monitor and discipline enterprises through the threat of takeovers and subsequent dismissal of management. Linking stock performance to manager compensation can help align the interests of managers with those of owners</w:t>
      </w:r>
      <w:proofErr w:type="gramStart"/>
      <w:r w:rsidRPr="00C40532">
        <w:rPr>
          <w:rFonts w:ascii="Times New Roman" w:hAnsi="Times New Roman" w:cs="Times New Roman"/>
          <w:sz w:val="24"/>
          <w:szCs w:val="24"/>
          <w:lang w:val="en-US"/>
        </w:rPr>
        <w:t>,  although</w:t>
      </w:r>
      <w:proofErr w:type="gramEnd"/>
      <w:r w:rsidRPr="00C40532">
        <w:rPr>
          <w:rFonts w:ascii="Times New Roman" w:hAnsi="Times New Roman" w:cs="Times New Roman"/>
          <w:sz w:val="24"/>
          <w:szCs w:val="24"/>
          <w:lang w:val="en-US"/>
        </w:rPr>
        <w:t xml:space="preserve"> it is important to define a proper benchmark. Similarly, as in the case of screening, financial institutions can economize on the costs of monitoring by functioning as “delegated monitor.”</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Fifth, banks can also help reduce liquidity risk and thus enable long-term investment, as shown by Diamond and Dybvig (1983). By pooling savings of patient and impatient agents, financial institutions can transform short-term liabilities into long-term assets, enabling long-term investment and ultimately economic growth. Similarly, liquid markets can enable investment in long-term investment projects while at the same time allowing investors to have access to their savings at short-term notice (Levine, 1991). Financial institutions can also ease liquidity needs of enterprises, enabling long-term investment and R&amp;D activities.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By building long-term relationships, financial institutions can further reduce monitoring costs. Both financial markets and institutions can thus improve resource allocation and productivity growth. By reducing control problems of </w:t>
      </w:r>
      <w:proofErr w:type="gramStart"/>
      <w:r w:rsidRPr="00C40532">
        <w:rPr>
          <w:rFonts w:ascii="Times New Roman" w:hAnsi="Times New Roman" w:cs="Times New Roman"/>
          <w:sz w:val="24"/>
          <w:szCs w:val="24"/>
          <w:lang w:val="en-US"/>
        </w:rPr>
        <w:t>investors</w:t>
      </w:r>
      <w:proofErr w:type="gramEnd"/>
      <w:r w:rsidRPr="00C40532">
        <w:rPr>
          <w:rFonts w:ascii="Times New Roman" w:hAnsi="Times New Roman" w:cs="Times New Roman"/>
          <w:sz w:val="24"/>
          <w:szCs w:val="24"/>
          <w:lang w:val="en-US"/>
        </w:rPr>
        <w:t xml:space="preserve"> vis-à-vis owners and managers of enterprises, improved corporate governance can also increase savings and capital accumulation.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Sixth, financial institutions and markets allow cross-sectional diversification across projects, allowing risky innovative activity while guaranteeing an ex ante contracted interest rate to savers </w:t>
      </w:r>
      <w:r w:rsidRPr="00C40532">
        <w:rPr>
          <w:rFonts w:ascii="Times New Roman" w:hAnsi="Times New Roman" w:cs="Times New Roman"/>
          <w:sz w:val="24"/>
          <w:szCs w:val="24"/>
          <w:lang w:val="en-US"/>
        </w:rPr>
        <w:lastRenderedPageBreak/>
        <w:t xml:space="preserve">(King and Levine, 1993b). Furthermore, aggregate risk that cannot be diversified away at a specific point in time can be diversified by long-living financial intermediaries over time (Allen and Gale, 1997).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Beyond theoretical models, economists have explained the take-off of the Industrial Revolution in some countries earlier than others to the availability of finance. Hicks (1969) argued that the Industrial Revolution in the United Kingdom was possible due to the developing British financial system. Although many inventions were made before the Industrial Revolution, liquid capital markets enabled investment into long-term projects that could use these inventions. Similarly, the Netherlands and the United States experienced financial deepening before their economic and political rise in the seventeenth and twentieth centuries, respectively.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relationship between finance and growth is not a one-way street; rather, higher growth induced by financial deepening increases demand for financial services, ultimately resulting in a virtuous circle of economic and financial development (Greenwood and Jovanovic, 1990). This theoretical insight has also resulted in additional challenges for the empirical finance and growth literature, as a positive relationship between financial and economic development might reflect causation from economic to financial development.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Theory, however, is not unambiguous in predicting a positive impact of financial deepening on economic growth. Better resource allocation may depress saving rates enough such that overall growth rates actually drop with enhanced financial development.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This can happen if the income effect of higher interest rates is larger than the substitution effect.  The financial sector might also attract too many resources relative to the real sector, with negative repercussions for growth. Critically, the impact of finance on growth might vary across different levels of income per capita, with the positive relationship being strongest among low- and middle-income countries that are catching up to high-income countries in their productivity levels and fading away as countries approach the global productivity frontier (Aghion, Howitt, and Mayer-Foulkes, 2005). A somewhat separate but related discussion is that about the importance of financial sector development compared to other sectors and policies in explaining growth. This ambiguity has motivated a large empirical literature over the past twenty years, to which I turn now.</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pStyle w:val="a4"/>
        <w:numPr>
          <w:ilvl w:val="0"/>
          <w:numId w:val="2"/>
        </w:numPr>
        <w:spacing w:after="0" w:line="240" w:lineRule="auto"/>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Public </w:t>
      </w:r>
      <w:proofErr w:type="gramStart"/>
      <w:r w:rsidRPr="00C40532">
        <w:rPr>
          <w:rFonts w:ascii="Times New Roman" w:hAnsi="Times New Roman" w:cs="Times New Roman"/>
          <w:b/>
          <w:sz w:val="24"/>
          <w:szCs w:val="24"/>
          <w:lang w:val="en-US"/>
        </w:rPr>
        <w:t>goods ,</w:t>
      </w:r>
      <w:proofErr w:type="gramEnd"/>
      <w:r w:rsidRPr="00C40532">
        <w:rPr>
          <w:rFonts w:ascii="Times New Roman" w:hAnsi="Times New Roman" w:cs="Times New Roman"/>
          <w:b/>
          <w:sz w:val="24"/>
          <w:szCs w:val="24"/>
          <w:lang w:val="en-US"/>
        </w:rPr>
        <w:t xml:space="preserve"> benefits, services.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public economics there are two vital economic terms known as public and private goods. Here I will examine the public goods and the crucial characteristics that a public good is required to have, to be a public good as well as the issues and problems that it presents in the society when it comes to determining public policy for such goods.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Public goods are services provided by the government whose benefits extend to a group of individuals or the society as a whole. There are two different types of public goods. These include pure public goods and impure public goods. Several member of the society can consume pure public goods without diminishing in value to any individual by using particular services. The street signs are one of such examples, as they will not wear out even if large numbers of people are watching it. It would be extremely difficult to limit its use to one person or preventing other from looking at it. These goods are therefore non-profitable to be provided privately. The interest in these types of public goods can be traced back to classical economics. It is where "David Hume and Adam Smith agreed that government intervention is needed to supply goods and services characterized by collective benefits". If left to individuals or organizations, these goods would not be provided adequately.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There is also issue of externalities connected to the supply of public goods due to its non-excludability factor. For example pollution is a "public bad". It is where actions of people harm or benefit other people. For instance Victims of negative externalities can't practically charge polluters </w:t>
      </w:r>
      <w:r w:rsidRPr="00C40532">
        <w:rPr>
          <w:rFonts w:ascii="Times New Roman" w:hAnsi="Times New Roman" w:cs="Times New Roman"/>
          <w:sz w:val="24"/>
          <w:szCs w:val="24"/>
          <w:lang w:val="en-US"/>
        </w:rPr>
        <w:lastRenderedPageBreak/>
        <w:t>a fee for suffering, and beneficiaries of positive externalities can't practically be charged for their enjoyment due to spill over and R&amp;D. Public goods have two main characteristics that distinguish it from a private good. Pure public goods are non-rival in consumption and non-excludable. Pure public goods, consumption of which is non-rival if a person can increase its consumption without reducing the quantity available for other's consumption, when they are provided to the individual's. As a principle stated by "Sameulsion in 1954 one individual's consumption does not reduce the other's consumption "It implies that marginal cost of extending the service to additional individual user is zero". For example a non-rival good is terrestrial TV, Radio station and fireworks. Many people can consume those goods without paying for them, as marginal cost of extending the service is zero, as one-person's consumption does not diminish the use by other people.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second characteristic is non-excludability. The "non-excludability of goods is where no one can prevent other person from the consumption of the good's because it might be expensive or impossible". For Example NHS service and civil defence in United Kingdom is considered to be a public service being non- excludable. Because when government spends money on civil defence it brings protection and safety to the society or individual regardless of their contribution or non-contributions to the country. As they are non-excludable therefore entry fee cannot be charged. These are provided free and to exclude individuals would be very costly and impossible to stop once it has been provided.</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David Hume pointed out that there is a "free-rider problem associated with public goods, even before the time of Adam Smith's writings. Each citizen who can enjoy the benefit of a public good has an incentive to try to lay the whole burden of provision on others, whenever the exclusion of non-payers is very costly or impossible."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provision of pure public goods by so-called public sector is itself subject to government failures as externalities and public goods are often linked due to non-excludability factor that is a prominent feature of public goods. Pure public goods are seen as an extreme form of externality and have problems of efficiency in allocation of resources. Efficiency is defined by (Samuleson 1954), requires marginal rate of benefit to equalise to marginal cost of providing the good. </w:t>
      </w:r>
      <w:proofErr w:type="gramStart"/>
      <w:r w:rsidRPr="00C40532">
        <w:rPr>
          <w:rFonts w:ascii="Times New Roman" w:hAnsi="Times New Roman" w:cs="Times New Roman"/>
          <w:sz w:val="24"/>
          <w:szCs w:val="24"/>
          <w:lang w:val="en-US"/>
        </w:rPr>
        <w:t>"Simuleson argues that public goods cause market failure in the form of underproduction and over financing" caused by negative, positive externalities and the free rider problem.</w:t>
      </w:r>
      <w:proofErr w:type="gramEnd"/>
      <w:r w:rsidRPr="00C40532">
        <w:rPr>
          <w:rFonts w:ascii="Times New Roman" w:hAnsi="Times New Roman" w:cs="Times New Roman"/>
          <w:sz w:val="24"/>
          <w:szCs w:val="24"/>
          <w:lang w:val="en-US"/>
        </w:rPr>
        <w:t xml:space="preserve"> An example of a positive externality is that of a person who produces a utility and it affects other person's utility. If I don't take this into account and stop doing the activity, my satisfaction will be maximized but it has failed to take into its affect on the other person. It would result in an under- production from paretian point of view.</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Free riding refers to a problem where under production of goods or services provided by the public sector lead to Pareto inefficiency or where there is an excessive use of the public goods. It is relevant in the case where non-excludability and non-rivalry in consumption of public good by the consumer will establish the consumption of the goods without contributing towards its production. This leads to underproduction of public goods and gives rise to free riding. Potential users may wait for the good to be supplied and then consume the good for free. For example NHS is non-rivalry in consumption and non-excludable as non-payers can take a free ride and enjoy the benefits of consumption (free riders). This creates market failure as smaller amount of money is being regenerated into the health service. Thus there is less money for the government to invest into the health services. This results in hospitals having out dated equipment, decrease in hospital beds and cuts in hospital jobs.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To solve the problems of such free riders we can look at following three issues as identified by McMillian: The first issue is that consumer may not be willing to pay for the good such as NHS. For example to solve this issue government can collect taxes for the provision of public goods and the problem might disappear by further restricting the deals with free rider problem.</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 xml:space="preserve">The </w:t>
      </w:r>
      <w:proofErr w:type="gramStart"/>
      <w:r w:rsidRPr="00C40532">
        <w:rPr>
          <w:rFonts w:ascii="Times New Roman" w:hAnsi="Times New Roman" w:cs="Times New Roman"/>
          <w:sz w:val="24"/>
          <w:szCs w:val="24"/>
          <w:lang w:val="en-US"/>
        </w:rPr>
        <w:t>second  issue</w:t>
      </w:r>
      <w:proofErr w:type="gramEnd"/>
      <w:r w:rsidRPr="00C40532">
        <w:rPr>
          <w:rFonts w:ascii="Times New Roman" w:hAnsi="Times New Roman" w:cs="Times New Roman"/>
          <w:sz w:val="24"/>
          <w:szCs w:val="24"/>
          <w:lang w:val="en-US"/>
        </w:rPr>
        <w:t>; what is the optimal level of production that requires information on individual demand for public good. People can give false information about their taste as consumer might be hoping to bring about a non-Pareto optimal equilibrium that gives them higher utility. That is caused by lack of information as observed by Samuleson. It causes particular problems in the case of Non-rival good consumption aspect of public goods that leads to "Demand Revelation" problems, as consumer might not reveal their true marginal rate of substitution. Each person's marginal rate of substitution is different which is required to establish welfare maximization. This can lead to excessive supply of funds and inefficiently allocation of the goods as most public goods and services are financed through a process of taxation, having no choice. Optimal levels of expenditures are difficult to be established. The provision of public goods can easily be over-financed or under-financed.</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Demand revelation problem in the absence of perfect information. This can be solved by relaying on potential competition in the market in a way to minimize adverse impact of collusion or coalition. "[Tideman and Tullock (1976)] pointed out that Demand revelation is a superior for making choices. Principle person is given a choice of accepting a decision made without his participation or changing to whatever he wants by paying for it and having it done otherwise".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Furthermore government could simply make an estimate of the optimum output distribution of tax and permit them to do better. The "advantage of this approach is that it would provide the market with information that is otherwise not available to government." They can also use mechanism that has been designed to induce true preferences revelation under specific condition to attain efficient provision of public goods. For example "Clark (1971) demand revelation mechanism is one such mechanism".</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third issue of free riding concern is as to what happens if the number of people grows larger in the economy. The issue can lead to under provision of services and goods. For example, problems like congestion costs arise, due to increase in number of users thus reducing the benefits to each individual. For example, the NHS, where the demand for healthcare is greater than supply; and in the absence of the price mechanism, demand is rationed through waiting lists. That waiting list reduces the benefits of individuals due to overcrowding as fewer resources like beds or doctors are available.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Coasian solution could also be used to solve free rider problem, where theorem, suggests the idea that a legal system would be unnecessary for the regulation of externalities in a world without transaction. It is where beneficiaries come to an agreement that satisfies both parties, thus reaching a Pareto effect allocation of resources. For example a farmer's cattle are consuming the protective plants at the edge of another farmer field, which reduces his output. This is not necessary for the government to step in and force parties to act properly. It is in their own interest to come to an agreement, as costs of implementation could be higher for both parties. Therefore, they will be able to find an agreement that is Pareto efficient. Since long transaction costs will be too high.</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Societies have dealt with government provision of public goods and services in different ways. That could include where a representative could be elected and represent people preferences. Voting is a common way to decide the allocation of problems. Whether people vote on public issues or elected representatives decide the public goods and their provision. Under majority voting, maximum spending will be based on median voter that might not be an efficient level. The main issue of public good is that an individual is paying for someone else's consumption and sometime people don't pay enough.</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Provision of public goods will face economic difficulties. As non-rivalry forces will pose challenges in trying to define the optional level of supply. Given an increase in the number of consumers will enhance the level of aggregate well-being. Secondly the non-exclusive nature of a public good is the source of undersupply, since agents tend to hide their preferences. Efficient provision needs to take into account the costs of design and promotion of efficient collective action. </w:t>
      </w:r>
      <w:r w:rsidRPr="00C40532">
        <w:rPr>
          <w:rFonts w:ascii="Times New Roman" w:hAnsi="Times New Roman" w:cs="Times New Roman"/>
          <w:sz w:val="24"/>
          <w:szCs w:val="24"/>
          <w:lang w:val="en-US"/>
        </w:rPr>
        <w:lastRenderedPageBreak/>
        <w:t>Reaching optimum supply levels require not only financial resources, but also the incentives to get agents involved and the institutional responses to ensure effective fulfillment .The government can correct market failure and provide the socially optimal levels of public goods by financing the provision of public goods with tax revenue. Public financing of public goods may be the only option in cases where the public good is non-excludable.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pStyle w:val="a4"/>
        <w:numPr>
          <w:ilvl w:val="0"/>
          <w:numId w:val="2"/>
        </w:numPr>
        <w:spacing w:after="0" w:line="240" w:lineRule="auto"/>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Financial economic category as a value. Reproductive process and finances.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Financial economics is the branch of economics characterized by a "concentration on monetary activities", in which "money of one type or another is likely to appear on both sides of a trade". Its concern is thus the interrelation of financial variables, such as prices, interest rates and shares, as opposed to those concerning the real economy. It has two main areas of focus: asset pricing (or "investment theory") and corporate finance; the first being the perspective of providers of capital and the second of users of capital.</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subject is concerned with "the allocation and deployment of economic resources, both spatially and across time, in an uncertain environment". It therefore centers on decision making under uncertainty in the context of the financial markets, and the resultant economic and financial models and principles, and is concerned with deriving testable or policy implications from acceptable assumptions. It is built on the foundations of microeconomics and decision theory.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Financial econometrics is the branch of financial economics that uses econometric techniques to parameterise these relationships. Mathematical finance is related in that it will derive and extend the mathematical or numerical models suggested by financial economics. Note though that the emphasis there is mathematical consistency, as opposed to compatibility with economic theory.</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Present value, expectation and utility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Underlying all of financial economics are the concepts of present value and expectation. Calculating their present value allows the decision maker to aggregate the cash flows (or other returns) to be produced by the asset in the future, to a single value at the date in question, and to thus more readily compare two opportunities; this concept is therefore the starting point for financial decision making. Its history is correspondingly early - it was developed in a book on compound interest by Richard Witt ("Arithmetical Questions" (1613)), and these ideas were further developed by Johan de Witt and Edmond Halley. An immediate extension is to then combine probabilities with present value, leading to the expected value criterion which sets asset value as a function of the sizes of the expected payouts and the probabilities of their occurrence. These ideas originate with Blaise Pascal and Pierre de Fermat.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This decision method, however, fails to consider risk aversion ("as any student of finance knows"). In other words, since individuals receive greater utility from an extra dollar when they are poor and less utility when comparatively rich, the approach is to therefore "adjust" the weight assigned to the various outcomes ("states") correspondingly. (Some investors may in fact be risk seeking as opposed to risk averse, but the same logic would apply). Choice under uncertainty </w:t>
      </w:r>
      <w:proofErr w:type="gramStart"/>
      <w:r w:rsidRPr="00C40532">
        <w:rPr>
          <w:rFonts w:ascii="Times New Roman" w:hAnsi="Times New Roman" w:cs="Times New Roman"/>
          <w:sz w:val="24"/>
          <w:szCs w:val="24"/>
          <w:lang w:val="en-US"/>
        </w:rPr>
        <w:t>here,</w:t>
      </w:r>
      <w:proofErr w:type="gramEnd"/>
      <w:r w:rsidRPr="00C40532">
        <w:rPr>
          <w:rFonts w:ascii="Times New Roman" w:hAnsi="Times New Roman" w:cs="Times New Roman"/>
          <w:sz w:val="24"/>
          <w:szCs w:val="24"/>
          <w:lang w:val="en-US"/>
        </w:rPr>
        <w:t xml:space="preserve"> may then be characterized as the maximization of expected utility. More formally, the resulting expected utility hypothesis states that, if certain axioms are satisfied, the subjective value associated with a gamble by an individual is that individual's statistical expectation of the valuations of the outcomes of that gamble. The </w:t>
      </w:r>
      <w:proofErr w:type="gramStart"/>
      <w:r w:rsidRPr="00C40532">
        <w:rPr>
          <w:rFonts w:ascii="Times New Roman" w:hAnsi="Times New Roman" w:cs="Times New Roman"/>
          <w:sz w:val="24"/>
          <w:szCs w:val="24"/>
          <w:lang w:val="en-US"/>
        </w:rPr>
        <w:t>impetus for these ideas arise</w:t>
      </w:r>
      <w:proofErr w:type="gramEnd"/>
      <w:r w:rsidRPr="00C40532">
        <w:rPr>
          <w:rFonts w:ascii="Times New Roman" w:hAnsi="Times New Roman" w:cs="Times New Roman"/>
          <w:sz w:val="24"/>
          <w:szCs w:val="24"/>
          <w:lang w:val="en-US"/>
        </w:rPr>
        <w:t xml:space="preserve"> from various inconsistencies observed under the expected value framework, such as the St. Petersburg paradox (see also Ellsberg paradox). The development here originally due to Daniel </w:t>
      </w:r>
      <w:proofErr w:type="gramStart"/>
      <w:r w:rsidRPr="00C40532">
        <w:rPr>
          <w:rFonts w:ascii="Times New Roman" w:hAnsi="Times New Roman" w:cs="Times New Roman"/>
          <w:sz w:val="24"/>
          <w:szCs w:val="24"/>
          <w:lang w:val="en-US"/>
        </w:rPr>
        <w:t>Bernoulli,</w:t>
      </w:r>
      <w:proofErr w:type="gramEnd"/>
      <w:r w:rsidRPr="00C40532">
        <w:rPr>
          <w:rFonts w:ascii="Times New Roman" w:hAnsi="Times New Roman" w:cs="Times New Roman"/>
          <w:sz w:val="24"/>
          <w:szCs w:val="24"/>
          <w:lang w:val="en-US"/>
        </w:rPr>
        <w:t xml:space="preserve"> and later formalized by John von Neumann and Oskar Morgenstern.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Arbitrage-free pricing and equilibrium</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The concepts of arbitrage-free “Rational” pricing and equilibrium are then coupled with the above to derive "classical" financial economics. Rational pricing is the assumption in financial economics that asset prices (and hence asset pricing models) will reflect the arbitrage-free price of the asset, as any deviation from this price will be "arbitraged away". This assumption is useful in pricing fixed income securities, particularly bonds, and is fundamental to the pricing of derivative instruments. Economic equilibrium is, in general, a state where economic forces such as supply and demand are balanced and in the absence of external influences these equilibrium values of economic variables will not change. General equilibrium deals with the behavior of supply, demand, and prices in a whole economy with several or many interacting markets, by seeking to prove that a set of prices exists that will result in an overall equilibrium (this is in contrast to partial equilibrium, which only analyzes single markets.)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two concepts are linked as follows: Where market prices do not allow for profitable arbitrage, i.e. </w:t>
      </w:r>
      <w:proofErr w:type="gramStart"/>
      <w:r w:rsidRPr="00C40532">
        <w:rPr>
          <w:rFonts w:ascii="Times New Roman" w:hAnsi="Times New Roman" w:cs="Times New Roman"/>
          <w:sz w:val="24"/>
          <w:szCs w:val="24"/>
          <w:lang w:val="en-US"/>
        </w:rPr>
        <w:t>comprise an arbitrage-free market</w:t>
      </w:r>
      <w:proofErr w:type="gramEnd"/>
      <w:r w:rsidRPr="00C40532">
        <w:rPr>
          <w:rFonts w:ascii="Times New Roman" w:hAnsi="Times New Roman" w:cs="Times New Roman"/>
          <w:sz w:val="24"/>
          <w:szCs w:val="24"/>
          <w:lang w:val="en-US"/>
        </w:rPr>
        <w:t xml:space="preserve">, so these prices are also said to constitute an "arbitrage equilibrium". Intuitively, this may be seen by considering that where an arbitrage opportunity does exist, then prices can be expected to change, and are, therefore, not in equilibrium. </w:t>
      </w:r>
      <w:proofErr w:type="gramStart"/>
      <w:r w:rsidRPr="00C40532">
        <w:rPr>
          <w:rFonts w:ascii="Times New Roman" w:hAnsi="Times New Roman" w:cs="Times New Roman"/>
          <w:sz w:val="24"/>
          <w:szCs w:val="24"/>
          <w:lang w:val="en-US"/>
        </w:rPr>
        <w:t>An arbitrage</w:t>
      </w:r>
      <w:proofErr w:type="gramEnd"/>
      <w:r w:rsidRPr="00C40532">
        <w:rPr>
          <w:rFonts w:ascii="Times New Roman" w:hAnsi="Times New Roman" w:cs="Times New Roman"/>
          <w:sz w:val="24"/>
          <w:szCs w:val="24"/>
          <w:lang w:val="en-US"/>
        </w:rPr>
        <w:t xml:space="preserve"> equilibrium is thus a precondition for a general economic equilibrium.</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immediate, and formal, extension of this idea, the Fundamental theorem of asset pricing, shows that under the above conditions we may conduct financial decisioning, applying (or constructing) a risk neutral probability measure; and further, the expected return of any security (or portfolio) equals the riskless return plus an “adjustment for risk,”,  i.e. a risk premium. All pricing models are then essentially a variant on this, given specific assumptions and / or conditions.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State prices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With the above relationship established, the further specialized Arrow–Debreu model may be derived. This important result suggests that, under certain economic conditions, there must be a set of prices such that aggregate supplies will equal aggregate demands for every commodity in the economy. The analysis here is often undertaken assuming a Representative agent.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Arrow–Debreu model applies to economies with maximally complete markets, in which there exists a market for every time period and forward prices for every commodity at all time periods. A direct extension, then, is the concept of a state price security (also called an Arrow-Debreu security), a contract that agrees to pay one unit of a numeraire (a currency or a commodity) if a particular state occurs at a particular time in the future and pays zero numeraire in all the other states. The price of this security is the state price of this particular state of the world. Correspondingly, the state price vector is the vector of state prices for all states.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State prices find immediate application in Financial Economics, as will be seen below: for example, any derivatives contract whose settlement value is a function of an underlying whose value is uncertain at contract date can be decomposed as a linear combination of its Arrow-Debreu securities, and thus as a weighted sum of its state prices. Analogously, for a continuous random variable indicating a continuum of possible states, the value is found by integrating over the state price density; see </w:t>
      </w:r>
      <w:proofErr w:type="gramStart"/>
      <w:r w:rsidRPr="00C40532">
        <w:rPr>
          <w:rFonts w:ascii="Times New Roman" w:hAnsi="Times New Roman" w:cs="Times New Roman"/>
          <w:sz w:val="24"/>
          <w:szCs w:val="24"/>
          <w:lang w:val="en-US"/>
        </w:rPr>
        <w:t>Stochastic</w:t>
      </w:r>
      <w:proofErr w:type="gramEnd"/>
      <w:r w:rsidRPr="00C40532">
        <w:rPr>
          <w:rFonts w:ascii="Times New Roman" w:hAnsi="Times New Roman" w:cs="Times New Roman"/>
          <w:sz w:val="24"/>
          <w:szCs w:val="24"/>
          <w:lang w:val="en-US"/>
        </w:rPr>
        <w:t xml:space="preserve"> discount factor. These concepts are extended to Martingale pricing and the related Risk-neutral measure.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right="-284" w:firstLine="180"/>
        <w:jc w:val="center"/>
        <w:rPr>
          <w:rFonts w:ascii="Times New Roman" w:hAnsi="Times New Roman" w:cs="Times New Roman"/>
          <w:b/>
          <w:bCs/>
          <w:color w:val="000000"/>
          <w:sz w:val="24"/>
          <w:szCs w:val="24"/>
        </w:rPr>
      </w:pPr>
      <w:proofErr w:type="gramStart"/>
      <w:r w:rsidRPr="00C40532">
        <w:rPr>
          <w:rFonts w:ascii="Times New Roman" w:hAnsi="Times New Roman" w:cs="Times New Roman"/>
          <w:b/>
          <w:sz w:val="24"/>
          <w:szCs w:val="24"/>
          <w:lang w:val="en-US"/>
        </w:rPr>
        <w:t xml:space="preserve">Theme  </w:t>
      </w:r>
      <w:r w:rsidRPr="00C40532">
        <w:rPr>
          <w:rFonts w:ascii="Times New Roman" w:hAnsi="Times New Roman" w:cs="Times New Roman"/>
          <w:b/>
          <w:sz w:val="24"/>
          <w:szCs w:val="24"/>
          <w:lang w:val="kk-KZ"/>
        </w:rPr>
        <w:t>2</w:t>
      </w:r>
      <w:proofErr w:type="gramEnd"/>
      <w:r w:rsidRPr="00C40532">
        <w:rPr>
          <w:rFonts w:ascii="Times New Roman" w:hAnsi="Times New Roman" w:cs="Times New Roman"/>
          <w:b/>
          <w:sz w:val="24"/>
          <w:szCs w:val="24"/>
          <w:lang w:val="kk-KZ"/>
        </w:rPr>
        <w:t>.</w:t>
      </w:r>
      <w:r w:rsidRPr="00C40532">
        <w:rPr>
          <w:rFonts w:ascii="Times New Roman" w:hAnsi="Times New Roman" w:cs="Times New Roman"/>
          <w:b/>
          <w:bCs/>
          <w:color w:val="000000"/>
          <w:sz w:val="24"/>
          <w:szCs w:val="24"/>
          <w:lang w:val="en-US"/>
        </w:rPr>
        <w:t xml:space="preserve"> </w:t>
      </w:r>
      <w:r w:rsidRPr="00C40532">
        <w:rPr>
          <w:rFonts w:ascii="Times New Roman" w:eastAsiaTheme="minorHAnsi" w:hAnsi="Times New Roman" w:cs="Times New Roman"/>
          <w:b/>
          <w:sz w:val="24"/>
          <w:szCs w:val="24"/>
          <w:lang w:val="en-US" w:eastAsia="en-US"/>
        </w:rPr>
        <w:t>Concept of Public Finance</w:t>
      </w:r>
    </w:p>
    <w:p w:rsidR="00472A60" w:rsidRPr="00C40532" w:rsidRDefault="00472A60" w:rsidP="00472A60">
      <w:pPr>
        <w:shd w:val="clear" w:color="auto" w:fill="FFFFFF"/>
        <w:tabs>
          <w:tab w:val="left" w:pos="2895"/>
        </w:tabs>
        <w:spacing w:after="0" w:line="240" w:lineRule="auto"/>
        <w:ind w:right="-284" w:firstLine="180"/>
        <w:rPr>
          <w:rFonts w:ascii="Times New Roman" w:hAnsi="Times New Roman" w:cs="Times New Roman"/>
          <w:sz w:val="24"/>
          <w:szCs w:val="24"/>
        </w:rPr>
      </w:pPr>
      <w:r w:rsidRPr="00C40532">
        <w:rPr>
          <w:rFonts w:ascii="Times New Roman" w:hAnsi="Times New Roman" w:cs="Times New Roman"/>
          <w:sz w:val="24"/>
          <w:szCs w:val="24"/>
        </w:rPr>
        <w:tab/>
      </w:r>
    </w:p>
    <w:p w:rsidR="00472A60" w:rsidRPr="00C40532" w:rsidRDefault="00472A60" w:rsidP="00472A60">
      <w:pPr>
        <w:pStyle w:val="a4"/>
        <w:numPr>
          <w:ilvl w:val="0"/>
          <w:numId w:val="8"/>
        </w:numPr>
        <w:tabs>
          <w:tab w:val="left" w:pos="3309"/>
        </w:tabs>
        <w:autoSpaceDE w:val="0"/>
        <w:autoSpaceDN w:val="0"/>
        <w:adjustRightInd w:val="0"/>
        <w:spacing w:after="0" w:line="240" w:lineRule="auto"/>
        <w:ind w:right="-284"/>
        <w:jc w:val="both"/>
        <w:rPr>
          <w:rFonts w:ascii="Times New Roman" w:eastAsiaTheme="minorHAnsi" w:hAnsi="Times New Roman" w:cs="Times New Roman"/>
          <w:b/>
          <w:sz w:val="24"/>
          <w:szCs w:val="24"/>
          <w:lang w:val="en-US" w:eastAsia="en-US"/>
        </w:rPr>
      </w:pPr>
      <w:r w:rsidRPr="00C40532">
        <w:rPr>
          <w:rFonts w:ascii="Times New Roman" w:eastAsiaTheme="minorHAnsi" w:hAnsi="Times New Roman" w:cs="Times New Roman"/>
          <w:b/>
          <w:sz w:val="24"/>
          <w:szCs w:val="24"/>
          <w:lang w:val="en-US" w:eastAsia="en-US"/>
        </w:rPr>
        <w:t>Concept of Public Finance</w:t>
      </w:r>
    </w:p>
    <w:p w:rsidR="00472A60" w:rsidRPr="00C40532" w:rsidRDefault="00472A60" w:rsidP="00472A60">
      <w:pPr>
        <w:pStyle w:val="a4"/>
        <w:numPr>
          <w:ilvl w:val="0"/>
          <w:numId w:val="8"/>
        </w:numPr>
        <w:tabs>
          <w:tab w:val="left" w:pos="3370"/>
        </w:tabs>
        <w:autoSpaceDE w:val="0"/>
        <w:autoSpaceDN w:val="0"/>
        <w:adjustRightInd w:val="0"/>
        <w:spacing w:after="0" w:line="240" w:lineRule="auto"/>
        <w:ind w:right="-284"/>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Financial concepts</w:t>
      </w:r>
    </w:p>
    <w:p w:rsidR="00472A60" w:rsidRPr="00C40532" w:rsidRDefault="00472A60" w:rsidP="00472A60">
      <w:pPr>
        <w:pStyle w:val="a4"/>
        <w:numPr>
          <w:ilvl w:val="0"/>
          <w:numId w:val="8"/>
        </w:numPr>
        <w:tabs>
          <w:tab w:val="left" w:pos="3370"/>
        </w:tabs>
        <w:autoSpaceDE w:val="0"/>
        <w:autoSpaceDN w:val="0"/>
        <w:adjustRightInd w:val="0"/>
        <w:spacing w:after="0" w:line="240" w:lineRule="auto"/>
        <w:ind w:right="-284"/>
        <w:jc w:val="both"/>
        <w:rPr>
          <w:rFonts w:ascii="Times New Roman" w:hAnsi="Times New Roman" w:cs="Times New Roman"/>
          <w:b/>
          <w:sz w:val="24"/>
          <w:szCs w:val="24"/>
          <w:lang w:val="en-US"/>
        </w:rPr>
      </w:pPr>
      <w:r w:rsidRPr="00C40532">
        <w:rPr>
          <w:rFonts w:ascii="Times New Roman" w:eastAsia="Times New Roman" w:hAnsi="Times New Roman" w:cs="Times New Roman"/>
          <w:b/>
          <w:color w:val="000000"/>
          <w:sz w:val="24"/>
          <w:szCs w:val="24"/>
          <w:lang w:val="en-US"/>
        </w:rPr>
        <w:t xml:space="preserve">Public finances in </w:t>
      </w:r>
      <w:r w:rsidRPr="00C40532">
        <w:rPr>
          <w:rFonts w:ascii="Times New Roman" w:hAnsi="Times New Roman" w:cs="Times New Roman"/>
          <w:b/>
          <w:color w:val="000000"/>
          <w:sz w:val="24"/>
          <w:szCs w:val="24"/>
          <w:lang w:val="en-US"/>
        </w:rPr>
        <w:t>Keynesian Economics</w:t>
      </w:r>
    </w:p>
    <w:p w:rsidR="00472A60" w:rsidRPr="00C40532" w:rsidRDefault="00472A60" w:rsidP="00472A60">
      <w:pPr>
        <w:pStyle w:val="a4"/>
        <w:numPr>
          <w:ilvl w:val="0"/>
          <w:numId w:val="8"/>
        </w:numPr>
        <w:spacing w:after="0" w:line="240" w:lineRule="auto"/>
        <w:ind w:right="-284"/>
        <w:rPr>
          <w:rFonts w:ascii="Times New Roman" w:hAnsi="Times New Roman" w:cs="Times New Roman"/>
          <w:sz w:val="24"/>
          <w:szCs w:val="24"/>
          <w:lang w:val="en-US"/>
        </w:rPr>
      </w:pPr>
      <w:r w:rsidRPr="00C40532">
        <w:rPr>
          <w:rFonts w:ascii="Times New Roman" w:eastAsia="Times New Roman" w:hAnsi="Times New Roman" w:cs="Times New Roman"/>
          <w:b/>
          <w:color w:val="000000"/>
          <w:sz w:val="24"/>
          <w:szCs w:val="24"/>
          <w:lang w:val="en-US"/>
        </w:rPr>
        <w:t>Modern neoclassical theory of public finance</w:t>
      </w:r>
      <w:r w:rsidRPr="00C40532">
        <w:rPr>
          <w:rFonts w:ascii="Times New Roman" w:eastAsia="Times New Roman" w:hAnsi="Times New Roman" w:cs="Times New Roman"/>
          <w:color w:val="000000"/>
          <w:sz w:val="24"/>
          <w:szCs w:val="24"/>
          <w:lang w:val="en-US"/>
        </w:rPr>
        <w:t xml:space="preserve"> </w:t>
      </w:r>
    </w:p>
    <w:p w:rsidR="00472A60" w:rsidRPr="00C40532" w:rsidRDefault="00472A60" w:rsidP="00472A60">
      <w:pPr>
        <w:pStyle w:val="a4"/>
        <w:numPr>
          <w:ilvl w:val="0"/>
          <w:numId w:val="8"/>
        </w:numPr>
        <w:spacing w:after="0" w:line="240" w:lineRule="auto"/>
        <w:ind w:right="-284"/>
        <w:rPr>
          <w:rFonts w:ascii="Times New Roman" w:hAnsi="Times New Roman" w:cs="Times New Roman"/>
          <w:sz w:val="24"/>
          <w:szCs w:val="24"/>
        </w:rPr>
      </w:pPr>
      <w:r w:rsidRPr="00C40532">
        <w:rPr>
          <w:rFonts w:ascii="Times New Roman" w:eastAsia="Times New Roman" w:hAnsi="Times New Roman" w:cs="Times New Roman"/>
          <w:b/>
          <w:color w:val="000000"/>
          <w:sz w:val="24"/>
          <w:szCs w:val="24"/>
          <w:lang w:val="en-US"/>
        </w:rPr>
        <w:t>Neoclassical synthesis</w:t>
      </w:r>
      <w:r w:rsidRPr="00C40532">
        <w:rPr>
          <w:rFonts w:ascii="Times New Roman" w:eastAsia="Times New Roman" w:hAnsi="Times New Roman" w:cs="Times New Roman"/>
          <w:color w:val="000000"/>
          <w:sz w:val="24"/>
          <w:szCs w:val="24"/>
          <w:lang w:val="en-US"/>
        </w:rPr>
        <w:t>.</w:t>
      </w:r>
    </w:p>
    <w:p w:rsidR="00472A60" w:rsidRPr="00C40532" w:rsidRDefault="00472A60" w:rsidP="00472A60">
      <w:pPr>
        <w:pStyle w:val="a4"/>
        <w:numPr>
          <w:ilvl w:val="0"/>
          <w:numId w:val="8"/>
        </w:numPr>
        <w:spacing w:after="0" w:line="240" w:lineRule="auto"/>
        <w:ind w:right="-284"/>
        <w:rPr>
          <w:rFonts w:ascii="Times New Roman" w:hAnsi="Times New Roman" w:cs="Times New Roman"/>
          <w:sz w:val="24"/>
          <w:szCs w:val="24"/>
        </w:rPr>
      </w:pPr>
      <w:r w:rsidRPr="00C40532">
        <w:rPr>
          <w:rFonts w:ascii="Times New Roman" w:hAnsi="Times New Roman" w:cs="Times New Roman"/>
          <w:b/>
          <w:color w:val="000000"/>
          <w:sz w:val="24"/>
          <w:szCs w:val="24"/>
          <w:lang w:val="en-US"/>
        </w:rPr>
        <w:t>The concept of "M</w:t>
      </w:r>
      <w:r w:rsidRPr="00C40532">
        <w:rPr>
          <w:rFonts w:ascii="Times New Roman" w:eastAsia="Times New Roman" w:hAnsi="Times New Roman" w:cs="Times New Roman"/>
          <w:b/>
          <w:color w:val="000000"/>
          <w:sz w:val="24"/>
          <w:szCs w:val="24"/>
          <w:lang w:val="en-US"/>
        </w:rPr>
        <w:t>ultiplier"</w:t>
      </w:r>
      <w:r w:rsidRPr="00C40532">
        <w:rPr>
          <w:rFonts w:ascii="Times New Roman" w:eastAsia="Times New Roman" w:hAnsi="Times New Roman" w:cs="Times New Roman"/>
          <w:color w:val="000000"/>
          <w:sz w:val="24"/>
          <w:szCs w:val="24"/>
          <w:lang w:val="en-US"/>
        </w:rPr>
        <w:t xml:space="preserve">. </w:t>
      </w:r>
    </w:p>
    <w:p w:rsidR="00472A60" w:rsidRPr="00C40532" w:rsidRDefault="00472A60" w:rsidP="00472A60">
      <w:pPr>
        <w:pStyle w:val="a4"/>
        <w:numPr>
          <w:ilvl w:val="0"/>
          <w:numId w:val="8"/>
        </w:numPr>
        <w:spacing w:after="0" w:line="240" w:lineRule="auto"/>
        <w:ind w:right="-284"/>
        <w:rPr>
          <w:rFonts w:ascii="Times New Roman" w:hAnsi="Times New Roman" w:cs="Times New Roman"/>
          <w:sz w:val="24"/>
          <w:szCs w:val="24"/>
          <w:lang w:val="en-US"/>
        </w:rPr>
      </w:pPr>
      <w:r w:rsidRPr="00C40532">
        <w:rPr>
          <w:rFonts w:ascii="Times New Roman" w:eastAsia="Times New Roman" w:hAnsi="Times New Roman" w:cs="Times New Roman"/>
          <w:b/>
          <w:color w:val="000000"/>
          <w:sz w:val="24"/>
          <w:szCs w:val="24"/>
          <w:lang w:val="en-US"/>
        </w:rPr>
        <w:t>Post-Keynesian theory of public finance</w:t>
      </w:r>
      <w:r w:rsidRPr="00C40532">
        <w:rPr>
          <w:rFonts w:ascii="Times New Roman" w:eastAsia="Times New Roman" w:hAnsi="Times New Roman" w:cs="Times New Roman"/>
          <w:color w:val="000000"/>
          <w:sz w:val="24"/>
          <w:szCs w:val="24"/>
          <w:lang w:val="en-US"/>
        </w:rPr>
        <w:t xml:space="preserve">. </w:t>
      </w:r>
    </w:p>
    <w:p w:rsidR="00472A60" w:rsidRPr="00C40532" w:rsidRDefault="00472A60" w:rsidP="00472A60">
      <w:pPr>
        <w:spacing w:after="0" w:line="240" w:lineRule="auto"/>
        <w:ind w:right="-284"/>
        <w:rPr>
          <w:rFonts w:ascii="Times New Roman" w:hAnsi="Times New Roman" w:cs="Times New Roman"/>
          <w:sz w:val="24"/>
          <w:szCs w:val="24"/>
          <w:lang w:val="en-US"/>
        </w:rPr>
      </w:pPr>
    </w:p>
    <w:p w:rsidR="00472A60" w:rsidRPr="00C40532" w:rsidRDefault="00472A60" w:rsidP="00472A60">
      <w:pPr>
        <w:pStyle w:val="a4"/>
        <w:numPr>
          <w:ilvl w:val="0"/>
          <w:numId w:val="11"/>
        </w:numPr>
        <w:tabs>
          <w:tab w:val="left" w:pos="3309"/>
        </w:tabs>
        <w:autoSpaceDE w:val="0"/>
        <w:autoSpaceDN w:val="0"/>
        <w:adjustRightInd w:val="0"/>
        <w:spacing w:after="0" w:line="240" w:lineRule="auto"/>
        <w:ind w:right="-284"/>
        <w:jc w:val="both"/>
        <w:rPr>
          <w:rFonts w:ascii="Times New Roman" w:eastAsiaTheme="minorHAnsi" w:hAnsi="Times New Roman" w:cs="Times New Roman"/>
          <w:b/>
          <w:sz w:val="24"/>
          <w:szCs w:val="24"/>
          <w:lang w:val="en-US" w:eastAsia="en-US"/>
        </w:rPr>
      </w:pPr>
      <w:r w:rsidRPr="00C40532">
        <w:rPr>
          <w:rFonts w:ascii="Times New Roman" w:eastAsiaTheme="minorHAnsi" w:hAnsi="Times New Roman" w:cs="Times New Roman"/>
          <w:b/>
          <w:sz w:val="24"/>
          <w:szCs w:val="24"/>
          <w:lang w:val="en-US" w:eastAsia="en-US"/>
        </w:rPr>
        <w:t>Concept of Public Finance</w:t>
      </w:r>
    </w:p>
    <w:p w:rsidR="00472A60" w:rsidRPr="00C40532" w:rsidRDefault="00472A60" w:rsidP="00472A60">
      <w:pPr>
        <w:autoSpaceDE w:val="0"/>
        <w:autoSpaceDN w:val="0"/>
        <w:adjustRightInd w:val="0"/>
        <w:spacing w:after="0" w:line="240" w:lineRule="auto"/>
        <w:ind w:right="-284" w:firstLine="709"/>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The concept of public finance deals with the budgeting techniques of the income and expenditures of a public sector organization, normally government or federal organization. Public finance is also termed as government finance and it is an important sector of finance and economics.</w:t>
      </w:r>
    </w:p>
    <w:p w:rsidR="00472A60" w:rsidRPr="00C40532" w:rsidRDefault="00472A60" w:rsidP="00472A60">
      <w:pPr>
        <w:autoSpaceDE w:val="0"/>
        <w:autoSpaceDN w:val="0"/>
        <w:adjustRightInd w:val="0"/>
        <w:spacing w:after="0" w:line="240" w:lineRule="auto"/>
        <w:ind w:right="-284" w:firstLine="709"/>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The concept of public finance focuses on the following factors:</w:t>
      </w:r>
    </w:p>
    <w:p w:rsidR="00472A60" w:rsidRPr="00C40532" w:rsidRDefault="00472A60" w:rsidP="00472A60">
      <w:pPr>
        <w:pStyle w:val="a4"/>
        <w:numPr>
          <w:ilvl w:val="0"/>
          <w:numId w:val="9"/>
        </w:numPr>
        <w:autoSpaceDE w:val="0"/>
        <w:autoSpaceDN w:val="0"/>
        <w:adjustRightInd w:val="0"/>
        <w:spacing w:after="0" w:line="240" w:lineRule="auto"/>
        <w:ind w:left="0" w:right="-284" w:firstLine="426"/>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Tax incidence (the party which is actually paying a specific tax)</w:t>
      </w:r>
    </w:p>
    <w:p w:rsidR="00472A60" w:rsidRPr="00C40532" w:rsidRDefault="00472A60" w:rsidP="00472A60">
      <w:pPr>
        <w:pStyle w:val="a4"/>
        <w:numPr>
          <w:ilvl w:val="0"/>
          <w:numId w:val="9"/>
        </w:numPr>
        <w:autoSpaceDE w:val="0"/>
        <w:autoSpaceDN w:val="0"/>
        <w:adjustRightInd w:val="0"/>
        <w:spacing w:after="0" w:line="240" w:lineRule="auto"/>
        <w:ind w:left="0" w:right="-284" w:firstLine="426"/>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Efficiency of government</w:t>
      </w:r>
    </w:p>
    <w:p w:rsidR="00472A60" w:rsidRPr="00C40532" w:rsidRDefault="00472A60" w:rsidP="00472A60">
      <w:pPr>
        <w:pStyle w:val="a4"/>
        <w:numPr>
          <w:ilvl w:val="0"/>
          <w:numId w:val="9"/>
        </w:numPr>
        <w:autoSpaceDE w:val="0"/>
        <w:autoSpaceDN w:val="0"/>
        <w:adjustRightInd w:val="0"/>
        <w:spacing w:after="0" w:line="240" w:lineRule="auto"/>
        <w:ind w:left="0" w:right="-284" w:firstLine="426"/>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The government’s function in accomplishing distribution of income with the help of taxation, transfer payments and government expenditure on commodities</w:t>
      </w:r>
    </w:p>
    <w:p w:rsidR="00472A60" w:rsidRPr="00C40532" w:rsidRDefault="00472A60" w:rsidP="00472A60">
      <w:pPr>
        <w:pStyle w:val="a4"/>
        <w:numPr>
          <w:ilvl w:val="0"/>
          <w:numId w:val="9"/>
        </w:numPr>
        <w:autoSpaceDE w:val="0"/>
        <w:autoSpaceDN w:val="0"/>
        <w:adjustRightInd w:val="0"/>
        <w:spacing w:after="0" w:line="240" w:lineRule="auto"/>
        <w:ind w:left="0" w:right="-284" w:firstLine="426"/>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The effectiveness and distribution results of various types of taxes, such as consumption tax and income tax</w:t>
      </w:r>
    </w:p>
    <w:p w:rsidR="00472A60" w:rsidRPr="00C40532" w:rsidRDefault="00472A60" w:rsidP="00472A60">
      <w:pPr>
        <w:pStyle w:val="a4"/>
        <w:numPr>
          <w:ilvl w:val="0"/>
          <w:numId w:val="9"/>
        </w:numPr>
        <w:autoSpaceDE w:val="0"/>
        <w:autoSpaceDN w:val="0"/>
        <w:adjustRightInd w:val="0"/>
        <w:spacing w:after="0" w:line="240" w:lineRule="auto"/>
        <w:ind w:left="0" w:right="-284" w:firstLine="426"/>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The ambit of government functions taking into consideration the markets, public goods, and externalities</w:t>
      </w:r>
    </w:p>
    <w:p w:rsidR="00472A60" w:rsidRPr="00C40532" w:rsidRDefault="00472A60" w:rsidP="00472A60">
      <w:pPr>
        <w:pStyle w:val="a4"/>
        <w:numPr>
          <w:ilvl w:val="0"/>
          <w:numId w:val="9"/>
        </w:numPr>
        <w:autoSpaceDE w:val="0"/>
        <w:autoSpaceDN w:val="0"/>
        <w:adjustRightInd w:val="0"/>
        <w:spacing w:after="0" w:line="240" w:lineRule="auto"/>
        <w:ind w:left="0" w:right="-284" w:firstLine="426"/>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Supply of commodities and services as prescribed by the government versus voluntary interchange</w:t>
      </w:r>
    </w:p>
    <w:p w:rsidR="00472A60" w:rsidRPr="00C40532" w:rsidRDefault="00472A60" w:rsidP="00472A60">
      <w:pPr>
        <w:pStyle w:val="a4"/>
        <w:numPr>
          <w:ilvl w:val="0"/>
          <w:numId w:val="9"/>
        </w:numPr>
        <w:autoSpaceDE w:val="0"/>
        <w:autoSpaceDN w:val="0"/>
        <w:adjustRightInd w:val="0"/>
        <w:spacing w:after="0" w:line="240" w:lineRule="auto"/>
        <w:ind w:left="0" w:right="-284" w:firstLine="426"/>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Public expenditure model, fiscal politics, and taxation policies</w:t>
      </w:r>
    </w:p>
    <w:p w:rsidR="00472A60" w:rsidRPr="00C40532" w:rsidRDefault="00472A60" w:rsidP="00472A60">
      <w:pPr>
        <w:pStyle w:val="a4"/>
        <w:numPr>
          <w:ilvl w:val="0"/>
          <w:numId w:val="9"/>
        </w:numPr>
        <w:autoSpaceDE w:val="0"/>
        <w:autoSpaceDN w:val="0"/>
        <w:adjustRightInd w:val="0"/>
        <w:spacing w:after="0" w:line="240" w:lineRule="auto"/>
        <w:ind w:left="0" w:right="-284" w:firstLine="426"/>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The revenue earned by the government by imposing different types of taxes is utilized in various types of public or social utility projects.</w:t>
      </w:r>
    </w:p>
    <w:p w:rsidR="00472A60" w:rsidRPr="00C40532" w:rsidRDefault="00472A60" w:rsidP="00472A60">
      <w:pPr>
        <w:autoSpaceDE w:val="0"/>
        <w:autoSpaceDN w:val="0"/>
        <w:adjustRightInd w:val="0"/>
        <w:spacing w:after="0" w:line="240" w:lineRule="auto"/>
        <w:ind w:right="-284" w:firstLine="709"/>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The financing process of the government is performed with the help of the following means:</w:t>
      </w:r>
    </w:p>
    <w:p w:rsidR="00472A60" w:rsidRPr="00C40532" w:rsidRDefault="00472A60" w:rsidP="00472A60">
      <w:pPr>
        <w:pStyle w:val="a4"/>
        <w:numPr>
          <w:ilvl w:val="0"/>
          <w:numId w:val="10"/>
        </w:numPr>
        <w:autoSpaceDE w:val="0"/>
        <w:autoSpaceDN w:val="0"/>
        <w:adjustRightInd w:val="0"/>
        <w:spacing w:after="0" w:line="240" w:lineRule="auto"/>
        <w:ind w:right="-284"/>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Borrowing or taking loans</w:t>
      </w:r>
    </w:p>
    <w:p w:rsidR="00472A60" w:rsidRPr="00C40532" w:rsidRDefault="00472A60" w:rsidP="00472A60">
      <w:pPr>
        <w:pStyle w:val="a4"/>
        <w:numPr>
          <w:ilvl w:val="0"/>
          <w:numId w:val="10"/>
        </w:numPr>
        <w:autoSpaceDE w:val="0"/>
        <w:autoSpaceDN w:val="0"/>
        <w:adjustRightInd w:val="0"/>
        <w:spacing w:after="0" w:line="240" w:lineRule="auto"/>
        <w:ind w:right="-284"/>
        <w:jc w:val="both"/>
        <w:rPr>
          <w:rFonts w:ascii="Times New Roman" w:eastAsiaTheme="minorHAnsi" w:hAnsi="Times New Roman" w:cs="Times New Roman"/>
          <w:sz w:val="24"/>
          <w:szCs w:val="24"/>
          <w:lang w:val="en-US" w:eastAsia="en-US"/>
        </w:rPr>
      </w:pPr>
      <w:r w:rsidRPr="00C40532">
        <w:rPr>
          <w:rFonts w:ascii="Times New Roman" w:eastAsiaTheme="minorHAnsi" w:hAnsi="Times New Roman" w:cs="Times New Roman"/>
          <w:sz w:val="24"/>
          <w:szCs w:val="24"/>
          <w:lang w:val="en-US" w:eastAsia="en-US"/>
        </w:rPr>
        <w:t>Taxation</w:t>
      </w:r>
    </w:p>
    <w:p w:rsidR="00472A60" w:rsidRPr="00C40532" w:rsidRDefault="00472A60" w:rsidP="00472A60">
      <w:pPr>
        <w:pStyle w:val="a4"/>
        <w:numPr>
          <w:ilvl w:val="0"/>
          <w:numId w:val="10"/>
        </w:numPr>
        <w:autoSpaceDE w:val="0"/>
        <w:autoSpaceDN w:val="0"/>
        <w:adjustRightInd w:val="0"/>
        <w:spacing w:after="0" w:line="240" w:lineRule="auto"/>
        <w:ind w:right="-284"/>
        <w:jc w:val="both"/>
        <w:rPr>
          <w:rFonts w:ascii="Times New Roman" w:hAnsi="Times New Roman" w:cs="Times New Roman"/>
          <w:sz w:val="24"/>
          <w:szCs w:val="24"/>
          <w:lang w:val="en-US"/>
        </w:rPr>
      </w:pPr>
      <w:r w:rsidRPr="00C40532">
        <w:rPr>
          <w:rFonts w:ascii="Times New Roman" w:eastAsiaTheme="minorHAnsi" w:hAnsi="Times New Roman" w:cs="Times New Roman"/>
          <w:sz w:val="24"/>
          <w:szCs w:val="24"/>
          <w:lang w:val="en-US" w:eastAsia="en-US"/>
        </w:rPr>
        <w:t>Seigniorage</w:t>
      </w:r>
    </w:p>
    <w:p w:rsidR="00472A60" w:rsidRPr="00C40532" w:rsidRDefault="00472A60" w:rsidP="00472A60">
      <w:pPr>
        <w:autoSpaceDE w:val="0"/>
        <w:autoSpaceDN w:val="0"/>
        <w:adjustRightInd w:val="0"/>
        <w:spacing w:after="0" w:line="240" w:lineRule="auto"/>
        <w:ind w:right="-284"/>
        <w:jc w:val="both"/>
        <w:rPr>
          <w:rFonts w:ascii="Times New Roman" w:hAnsi="Times New Roman" w:cs="Times New Roman"/>
          <w:sz w:val="24"/>
          <w:szCs w:val="24"/>
        </w:rPr>
      </w:pPr>
    </w:p>
    <w:p w:rsidR="00472A60" w:rsidRPr="00C40532" w:rsidRDefault="00472A60" w:rsidP="00472A60">
      <w:pPr>
        <w:autoSpaceDE w:val="0"/>
        <w:autoSpaceDN w:val="0"/>
        <w:adjustRightInd w:val="0"/>
        <w:spacing w:after="0" w:line="240" w:lineRule="auto"/>
        <w:ind w:right="-284"/>
        <w:jc w:val="both"/>
        <w:rPr>
          <w:rFonts w:ascii="Times New Roman" w:hAnsi="Times New Roman" w:cs="Times New Roman"/>
          <w:sz w:val="24"/>
          <w:szCs w:val="24"/>
        </w:rPr>
      </w:pPr>
    </w:p>
    <w:p w:rsidR="00472A60" w:rsidRPr="00C40532" w:rsidRDefault="00472A60" w:rsidP="00472A60">
      <w:pPr>
        <w:pStyle w:val="a4"/>
        <w:numPr>
          <w:ilvl w:val="0"/>
          <w:numId w:val="11"/>
        </w:numPr>
        <w:tabs>
          <w:tab w:val="left" w:pos="3370"/>
        </w:tabs>
        <w:autoSpaceDE w:val="0"/>
        <w:autoSpaceDN w:val="0"/>
        <w:adjustRightInd w:val="0"/>
        <w:spacing w:after="0" w:line="240" w:lineRule="auto"/>
        <w:ind w:right="-284"/>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Financial concepts</w:t>
      </w:r>
    </w:p>
    <w:p w:rsidR="00472A60" w:rsidRPr="00C40532" w:rsidRDefault="00472A60" w:rsidP="00472A60">
      <w:pPr>
        <w:autoSpaceDE w:val="0"/>
        <w:autoSpaceDN w:val="0"/>
        <w:adjustRightInd w:val="0"/>
        <w:spacing w:after="0" w:line="240" w:lineRule="auto"/>
        <w:ind w:right="-284"/>
        <w:jc w:val="both"/>
        <w:rPr>
          <w:rFonts w:ascii="Times New Roman" w:hAnsi="Times New Roman" w:cs="Times New Roman"/>
          <w:sz w:val="24"/>
          <w:szCs w:val="24"/>
          <w:lang w:val="en-US"/>
        </w:rPr>
      </w:pPr>
    </w:p>
    <w:p w:rsidR="00472A60" w:rsidRPr="00C40532" w:rsidRDefault="00472A60" w:rsidP="00472A60">
      <w:pPr>
        <w:autoSpaceDE w:val="0"/>
        <w:autoSpaceDN w:val="0"/>
        <w:adjustRightInd w:val="0"/>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 number of important concepts of finance have been developed by the experts of the field to provide better knowledge about the field to the general public. These financial concepts are also aimed at developing the resources and opportunities in this field.</w:t>
      </w:r>
    </w:p>
    <w:p w:rsidR="00472A60" w:rsidRPr="00C40532" w:rsidRDefault="00472A60" w:rsidP="00472A60">
      <w:pPr>
        <w:autoSpaceDE w:val="0"/>
        <w:autoSpaceDN w:val="0"/>
        <w:adjustRightInd w:val="0"/>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Every individual as well as institution has a definite source of income and a particular way of expenditure.These particular sources of income, habit of investment and the habit of expenditure, all come under the domain of finance. Several important concepts of finance have been developed through close study of all these things.</w:t>
      </w:r>
    </w:p>
    <w:p w:rsidR="00472A60" w:rsidRPr="00C40532" w:rsidRDefault="00472A60" w:rsidP="00472A60">
      <w:pPr>
        <w:autoSpaceDE w:val="0"/>
        <w:autoSpaceDN w:val="0"/>
        <w:adjustRightInd w:val="0"/>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 xml:space="preserve">The important concepts of finance throw light on the topics like money and assets. These concepts are related to the development of the money and assets.At the same </w:t>
      </w:r>
      <w:proofErr w:type="gramStart"/>
      <w:r w:rsidRPr="00C40532">
        <w:rPr>
          <w:rFonts w:ascii="Times New Roman" w:hAnsi="Times New Roman" w:cs="Times New Roman"/>
          <w:sz w:val="24"/>
          <w:szCs w:val="24"/>
          <w:lang w:val="en-US"/>
        </w:rPr>
        <w:t>time,</w:t>
      </w:r>
      <w:proofErr w:type="gramEnd"/>
      <w:r w:rsidRPr="00C40532">
        <w:rPr>
          <w:rFonts w:ascii="Times New Roman" w:hAnsi="Times New Roman" w:cs="Times New Roman"/>
          <w:sz w:val="24"/>
          <w:szCs w:val="24"/>
          <w:lang w:val="en-US"/>
        </w:rPr>
        <w:t xml:space="preserve"> the financial concepts are also concerned about proper management of money through certain processes.</w:t>
      </w:r>
    </w:p>
    <w:p w:rsidR="00472A60" w:rsidRPr="00C40532" w:rsidRDefault="00472A60" w:rsidP="00472A60">
      <w:pPr>
        <w:autoSpaceDE w:val="0"/>
        <w:autoSpaceDN w:val="0"/>
        <w:adjustRightInd w:val="0"/>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Important concepts of finance are also crucial for deciding value of money in the present as well as in the future.The first thing that follows from the term finance is investment. The investment sector is favorite amongst a large section of general public especially the financial experts.</w:t>
      </w:r>
    </w:p>
    <w:p w:rsidR="00472A60" w:rsidRPr="00C40532" w:rsidRDefault="00472A60" w:rsidP="00472A60">
      <w:pPr>
        <w:autoSpaceDE w:val="0"/>
        <w:autoSpaceDN w:val="0"/>
        <w:adjustRightInd w:val="0"/>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These experts have studied different aspects of this field and a number of important concepts of finance have been developed around the invest sector.</w:t>
      </w:r>
    </w:p>
    <w:p w:rsidR="00472A60" w:rsidRPr="00C40532" w:rsidRDefault="00472A60" w:rsidP="00472A60">
      <w:pPr>
        <w:autoSpaceDE w:val="0"/>
        <w:autoSpaceDN w:val="0"/>
        <w:adjustRightInd w:val="0"/>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sector itself is complex by nature but it is at the center of attraction simply because the sector is eligible enough to produce high yields for the investors. At the same time, risk factors are also related to this sector and so before entering into the financial sector one should have a clear understanding of the sector. The important concepts of finance prove to be of great use in understanding the functioning of this sector. These concepts are also essential to understand the opportunities of development as well as the traps hidden in the field of finance.</w:t>
      </w:r>
    </w:p>
    <w:p w:rsidR="00472A60" w:rsidRPr="00C40532" w:rsidRDefault="00472A60" w:rsidP="00472A60">
      <w:pPr>
        <w:autoSpaceDE w:val="0"/>
        <w:autoSpaceDN w:val="0"/>
        <w:adjustRightInd w:val="0"/>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important concepts of finance help to evaluate the potential of the stocks, bonds and other investment instruments and one can use these concepts to select the best investment plans available in the market.</w:t>
      </w:r>
    </w:p>
    <w:p w:rsidR="00472A60" w:rsidRPr="00C40532" w:rsidRDefault="00472A60" w:rsidP="00472A60">
      <w:pPr>
        <w:spacing w:after="0" w:line="240" w:lineRule="auto"/>
        <w:ind w:right="-284" w:firstLine="709"/>
        <w:rPr>
          <w:rFonts w:ascii="Times New Roman" w:hAnsi="Times New Roman" w:cs="Times New Roman"/>
          <w:sz w:val="24"/>
          <w:szCs w:val="24"/>
          <w:lang w:val="en-US"/>
        </w:rPr>
      </w:pPr>
    </w:p>
    <w:p w:rsidR="00472A60" w:rsidRPr="00C40532" w:rsidRDefault="00472A60" w:rsidP="00472A60">
      <w:pPr>
        <w:spacing w:after="0" w:line="240" w:lineRule="auto"/>
        <w:ind w:right="-284" w:firstLine="709"/>
        <w:rPr>
          <w:rFonts w:ascii="Times New Roman" w:hAnsi="Times New Roman" w:cs="Times New Roman"/>
          <w:sz w:val="24"/>
          <w:szCs w:val="24"/>
          <w:lang w:val="en-US"/>
        </w:rPr>
      </w:pPr>
    </w:p>
    <w:p w:rsidR="00472A60" w:rsidRPr="00C40532" w:rsidRDefault="00472A60" w:rsidP="00472A60">
      <w:pPr>
        <w:pStyle w:val="a4"/>
        <w:numPr>
          <w:ilvl w:val="0"/>
          <w:numId w:val="11"/>
        </w:numPr>
        <w:tabs>
          <w:tab w:val="left" w:pos="1532"/>
        </w:tabs>
        <w:spacing w:after="0" w:line="240" w:lineRule="auto"/>
        <w:ind w:left="2268" w:right="-284" w:hanging="1559"/>
        <w:jc w:val="center"/>
        <w:rPr>
          <w:rFonts w:ascii="Times New Roman" w:hAnsi="Times New Roman" w:cs="Times New Roman"/>
          <w:b/>
          <w:sz w:val="24"/>
          <w:szCs w:val="24"/>
          <w:lang w:val="en-US"/>
        </w:rPr>
      </w:pPr>
      <w:r w:rsidRPr="00C40532">
        <w:rPr>
          <w:rFonts w:ascii="Times New Roman" w:eastAsia="Times New Roman" w:hAnsi="Times New Roman" w:cs="Times New Roman"/>
          <w:b/>
          <w:color w:val="000000"/>
          <w:sz w:val="24"/>
          <w:szCs w:val="24"/>
          <w:lang w:val="en-US"/>
        </w:rPr>
        <w:t xml:space="preserve">Public finances in </w:t>
      </w:r>
      <w:r w:rsidRPr="00C40532">
        <w:rPr>
          <w:rFonts w:ascii="Times New Roman" w:hAnsi="Times New Roman" w:cs="Times New Roman"/>
          <w:b/>
          <w:color w:val="000000"/>
          <w:sz w:val="24"/>
          <w:szCs w:val="24"/>
          <w:lang w:val="en-US"/>
        </w:rPr>
        <w:t>Keynesian Economics</w:t>
      </w:r>
    </w:p>
    <w:p w:rsidR="00472A60" w:rsidRPr="00C40532" w:rsidRDefault="00472A60" w:rsidP="00472A60">
      <w:pPr>
        <w:spacing w:after="0" w:line="240" w:lineRule="auto"/>
        <w:ind w:right="-284" w:firstLine="709"/>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central tenet of this school of thought is that government intervention can stabilize the economy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Just how important is money? Few would deny that it plays a key role in the economy.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During the Great Depression of the 1930s, existing economic theory was unable either to explain the causes of the severe worldwide economic collapse or to provide an adequate public policy solution to jump-start production and employment.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British economist John Maynard Keynes spearheaded a revolution in economic thinking that overturned the then-prevailing idea that free markets would automatically provide full employment—that is, that everyone who wanted a job would have one as long as workers were flexible in their wage demands (see box). The main plank of Keynes’s theory, which has come to bear his name, is the assertion that aggregate demand—measured as the sum of spending by households, businesses, and the government—is the most important driving force in an economy. Keynes further asserted that free markets have no self-balancing mechanisms that lead to full employment. Keynesian economists justify government intervention through public policies that aim to achieve full employment and price stability.</w:t>
      </w:r>
    </w:p>
    <w:p w:rsidR="00472A60" w:rsidRPr="00C40532" w:rsidRDefault="00472A60" w:rsidP="00472A60">
      <w:pPr>
        <w:spacing w:after="0" w:line="240" w:lineRule="auto"/>
        <w:ind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The revolutionary idea</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Keynes argued that inadequate overall demand could lead to prolonged periods of high unemployment. An economy’s output of goods and services is the sum of four components: consumption, investment, government purchases, and net exports (the difference between what a country sells to and buys from foreign countries). Any increase in demand has to come from one of these four components. But during a recession, strong forces often dampen demand as spending goes down. For example, during economic downturns uncertainty often erodes consumer confidence, causing them to reduce their spending, especially on discretionary purchases like a house or a car. This reduction in spending by consumers can result in less investment spending by businesses, as firms respond to weakened demand for their products. This puts the task of increasing output on the shoulders of the government. According to Keynesian economics, state intervention is necessary to moderate the booms and busts in economic activity, otherwise known as the business cycle.</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There are three principal tenets in the Keynesian description of how the economy works: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 Aggregate demand is influenced by many economic decisions—public and private.Private sector decisions can sometimes lead to adverse macroeconomic outcomes, such as reduction in consumer spending during a recession. These market failures sometimes call for active policies by the government, such as a fiscal stimulus package (explained below). Therefore, Keynesian economics supports a mixed economy guided mainly by the private sector but partly operated by the government.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Prices, and especially wages, respond slowly to changes in supply and demand, resulting in periodic shortages and surpluses, especially of labor.</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Changes in aggregate demand, whether anticipated or unanticipated, have their greatest short-run effect on real output and employment, not on prices. Keynesians believe that, because prices are somewhat rigid, fluctuations in any component of spending—consumption, investment, or government expenditures—cause output to change. If government spending increases, for </w:t>
      </w:r>
      <w:proofErr w:type="gramStart"/>
      <w:r w:rsidRPr="00C40532">
        <w:rPr>
          <w:rFonts w:ascii="Times New Roman" w:hAnsi="Times New Roman" w:cs="Times New Roman"/>
          <w:sz w:val="24"/>
          <w:szCs w:val="24"/>
          <w:lang w:val="en-US"/>
        </w:rPr>
        <w:t>example,</w:t>
      </w:r>
      <w:proofErr w:type="gramEnd"/>
      <w:r w:rsidRPr="00C40532">
        <w:rPr>
          <w:rFonts w:ascii="Times New Roman" w:hAnsi="Times New Roman" w:cs="Times New Roman"/>
          <w:sz w:val="24"/>
          <w:szCs w:val="24"/>
          <w:lang w:val="en-US"/>
        </w:rPr>
        <w:t xml:space="preserve"> and all other spending components remain constant, then output will increase. Keynesian models of economic activity also include a multiplier effect; that is, output changes by some multiple of the increase or decrease in spending that caused the change. If the fiscal multiplier is greater than one, then a one dollar increase in government spending would result in an increase in output greater than one dollar.</w:t>
      </w:r>
    </w:p>
    <w:p w:rsidR="00472A60" w:rsidRPr="00C40532" w:rsidRDefault="00472A60" w:rsidP="00472A60">
      <w:pPr>
        <w:spacing w:after="0" w:line="240" w:lineRule="auto"/>
        <w:ind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Stabilizing the economy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No policy prescriptions follow from these three tenets alone. What distinguishes Keynesians from other economists is their belief in activist policies to reduce the amplitude of the business cycle, which they rank among the most important of all economic problems.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Rather than seeing unbalanced government budgets as wrong, Keynes advocated so-called countercyclical fiscal policies that act against the direction of the business cycle. For example, Keynesian economists would advocate deficit spending on labor-intensive infrastructure projects to stimulate employment and stabilize wages during economic downturns. They would raise taxes to cool the economy and prevent inflation when there is abundant demand-side growth. Monetary policy could also be used to stimulate the economy—for example, by reducing interest rates to encourage investment. The exception occurs during a liquidity trap, when increases in the money stock fail to lower interest rates and, therefore, do not boost output and employment.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Keynes argued that governments should solve problems in the short run rather than wait for market forces to fix things over the long run, because, as he wrote, “In the long run, we are all dead.” This does not mean that Keynesians advocate adjusting policies every few months to keep the economy at full employment. In fact, they believe that governments cannot know enough to fine-tune successfully.</w:t>
      </w:r>
    </w:p>
    <w:p w:rsidR="00472A60" w:rsidRPr="00C40532" w:rsidRDefault="00472A60" w:rsidP="00472A60">
      <w:pPr>
        <w:spacing w:after="0" w:line="240" w:lineRule="auto"/>
        <w:ind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Keynesianism evolves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Even though his ideas were widely accepted while Keynes was alive, they were also scrutinized and contested by several contemporary thinkers. Particularly noteworthy were his arguments with the Austrian School of Economics, whose adherents believed that recessions and booms are a part of the natural order and that government intervention only worsens the recovery process.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Keynesian economics dominated economic theory and policy after World War II until the 1970s, when many advanced economies suffered both inflation and slow growth, a condition dubbed “stagflation.” Keynesian theory’s popularity waned then because it had no appropriate policy response for stagflation. Monetarist economists doubted the ability of governments to regulate the business cycle with fiscal policy and argued that judicious use of monetary policy (essentially controlling the supply of money to affect interest rates) could alleviate the crisis (see “What Is Monetarism?” in the March 2014 F&amp;D). Members of the monetarist school also maintained that money can have an effect on output in the short run but believed that in the long run, expansionary monetary policy leads to inflation only. Keynesian economists largely adopted these critiques, adding to the original theory a better integration of the short and the long run and an understanding of the long-run neutrality of money—the idea that a change in the stock of money affects only nominal variables in the economy, such as prices and wages, and has no effect on real variables, like employment and output.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Both Keynesians and monetarists came under scrutiny with the rise of the new classical school during the mid-1970s. The new classical school asserted that policymakers are ineffective because individual market participants can anticipate the changes from a policy and act in advance to counteract them. A new generation of Keynesians that arose in the 1970s and 1980s argued that even though individuals can anticipate correctly, aggregate markets may not clear instantaneously; therefore, fiscal policy can still be effective in the short run.</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global financial crisis of 2007–08 caused </w:t>
      </w:r>
      <w:proofErr w:type="gramStart"/>
      <w:r w:rsidRPr="00C40532">
        <w:rPr>
          <w:rFonts w:ascii="Times New Roman" w:hAnsi="Times New Roman" w:cs="Times New Roman"/>
          <w:sz w:val="24"/>
          <w:szCs w:val="24"/>
          <w:lang w:val="en-US"/>
        </w:rPr>
        <w:t>a resurgence</w:t>
      </w:r>
      <w:proofErr w:type="gramEnd"/>
      <w:r w:rsidRPr="00C40532">
        <w:rPr>
          <w:rFonts w:ascii="Times New Roman" w:hAnsi="Times New Roman" w:cs="Times New Roman"/>
          <w:sz w:val="24"/>
          <w:szCs w:val="24"/>
          <w:lang w:val="en-US"/>
        </w:rPr>
        <w:t xml:space="preserve"> in Keynesian thought. It was the theoretical underpinnings of economic policies in response to the crisis by many governments, including in the United States and the United Kingdom. As the global recession was unfurling in late 2008, Harvard professor N. Gregory Mankiw wrote in the New York Times, “If you were going to turn to only one economist to understand the problems facing the economy, there is little doubt that the economist would be John Maynard Keynes. Although Keynes died more than a half-century ago, his diagnosis of recessions and depressions remains the foundation of modern macroeconomics. Keynes wrote, ‘Practical men, who believe </w:t>
      </w:r>
      <w:proofErr w:type="gramStart"/>
      <w:r w:rsidRPr="00C40532">
        <w:rPr>
          <w:rFonts w:ascii="Times New Roman" w:hAnsi="Times New Roman" w:cs="Times New Roman"/>
          <w:sz w:val="24"/>
          <w:szCs w:val="24"/>
          <w:lang w:val="en-US"/>
        </w:rPr>
        <w:t>themselves</w:t>
      </w:r>
      <w:proofErr w:type="gramEnd"/>
      <w:r w:rsidRPr="00C40532">
        <w:rPr>
          <w:rFonts w:ascii="Times New Roman" w:hAnsi="Times New Roman" w:cs="Times New Roman"/>
          <w:sz w:val="24"/>
          <w:szCs w:val="24"/>
          <w:lang w:val="en-US"/>
        </w:rPr>
        <w:t xml:space="preserve"> to be quite exempt from any intellectual influence, are usually the slave of some defunct economist.’ In 2008, no defunct economist is more prominent than Keynes himself.”</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But the 2007–08 </w:t>
      </w:r>
      <w:proofErr w:type="gramStart"/>
      <w:r w:rsidRPr="00C40532">
        <w:rPr>
          <w:rFonts w:ascii="Times New Roman" w:hAnsi="Times New Roman" w:cs="Times New Roman"/>
          <w:sz w:val="24"/>
          <w:szCs w:val="24"/>
          <w:lang w:val="en-US"/>
        </w:rPr>
        <w:t>crisis</w:t>
      </w:r>
      <w:proofErr w:type="gramEnd"/>
      <w:r w:rsidRPr="00C40532">
        <w:rPr>
          <w:rFonts w:ascii="Times New Roman" w:hAnsi="Times New Roman" w:cs="Times New Roman"/>
          <w:sz w:val="24"/>
          <w:szCs w:val="24"/>
          <w:lang w:val="en-US"/>
        </w:rPr>
        <w:t xml:space="preserve"> also showed that Keynesian theory had to better include the role of the financial system. Keynesian economists are rectifying that omission by integrating the real and financial sectors of the economy.</w:t>
      </w:r>
    </w:p>
    <w:p w:rsidR="00472A60" w:rsidRPr="00C40532" w:rsidRDefault="00472A60" w:rsidP="00472A60">
      <w:pPr>
        <w:spacing w:after="0" w:line="240" w:lineRule="auto"/>
        <w:ind w:right="-284" w:firstLine="709"/>
        <w:jc w:val="both"/>
        <w:rPr>
          <w:rFonts w:ascii="Times New Roman" w:hAnsi="Times New Roman" w:cs="Times New Roman"/>
          <w:i/>
          <w:sz w:val="24"/>
          <w:szCs w:val="24"/>
          <w:lang w:val="en-US"/>
        </w:rPr>
      </w:pPr>
    </w:p>
    <w:p w:rsidR="00472A60" w:rsidRPr="00C40532" w:rsidRDefault="00472A60" w:rsidP="00472A60">
      <w:pPr>
        <w:spacing w:after="0" w:line="240" w:lineRule="auto"/>
        <w:ind w:left="567" w:right="-284" w:firstLine="709"/>
        <w:jc w:val="both"/>
        <w:rPr>
          <w:rFonts w:ascii="Times New Roman" w:hAnsi="Times New Roman" w:cs="Times New Roman"/>
          <w:i/>
          <w:sz w:val="24"/>
          <w:szCs w:val="24"/>
          <w:lang w:val="en-US"/>
        </w:rPr>
      </w:pPr>
      <w:proofErr w:type="gramStart"/>
      <w:r w:rsidRPr="00C40532">
        <w:rPr>
          <w:rFonts w:ascii="Times New Roman" w:hAnsi="Times New Roman" w:cs="Times New Roman"/>
          <w:i/>
          <w:sz w:val="24"/>
          <w:szCs w:val="24"/>
          <w:lang w:val="en-US"/>
        </w:rPr>
        <w:t>Keynesian economics gets its name, theories, and principles from British economist John Maynard Keynes (1883–1946), who is regarded as the founder of modern macroeconomics.</w:t>
      </w:r>
      <w:proofErr w:type="gramEnd"/>
      <w:r w:rsidRPr="00C40532">
        <w:rPr>
          <w:rFonts w:ascii="Times New Roman" w:hAnsi="Times New Roman" w:cs="Times New Roman"/>
          <w:i/>
          <w:sz w:val="24"/>
          <w:szCs w:val="24"/>
          <w:lang w:val="en-US"/>
        </w:rPr>
        <w:t xml:space="preserve"> His most famous work, The General Theory of Employment, Interest and Money, was published in 1936. But its 1930 precursor, A Treatise on Money, is often regarded as more important to economic thought. Until then economics analyzed only static conditions—essentially doing detailed examination of a snapshot of a rapidly moving process. Keynes, in Treatise, created a dynamic approach that converted economics into a study of the flow of incomes and expenditures. He opened up new vistas for economic analysis.</w:t>
      </w:r>
    </w:p>
    <w:p w:rsidR="00472A60" w:rsidRPr="00C40532" w:rsidRDefault="00472A60" w:rsidP="00472A60">
      <w:pPr>
        <w:spacing w:after="0" w:line="240" w:lineRule="auto"/>
        <w:ind w:left="567"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 xml:space="preserve"> In The Economic Consequences of the Peace in 1919, Keynes predicted that the crushing conditions the Versailles peace treaty placed on Germany to end World War I would lead to another European war.</w:t>
      </w:r>
    </w:p>
    <w:p w:rsidR="00472A60" w:rsidRPr="00C40532" w:rsidRDefault="00472A60" w:rsidP="00472A60">
      <w:pPr>
        <w:spacing w:after="0" w:line="240" w:lineRule="auto"/>
        <w:ind w:left="567"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 xml:space="preserve">He remembered the lessons from Versailles and from the Great Depression, when he led the British delegation at the 1944 Bretton Woods conference—which set down rules to ensure the stability of the international financial system and facilitated the rebuilding of nations devastated by World War II. Along with U.S. Treasury official Harry Dexter White, Keynes is considered the intellectual founding father of the International Monetary Fund and the World Bank, which </w:t>
      </w:r>
      <w:proofErr w:type="gramStart"/>
      <w:r w:rsidRPr="00C40532">
        <w:rPr>
          <w:rFonts w:ascii="Times New Roman" w:hAnsi="Times New Roman" w:cs="Times New Roman"/>
          <w:i/>
          <w:sz w:val="24"/>
          <w:szCs w:val="24"/>
          <w:lang w:val="en-US"/>
        </w:rPr>
        <w:t>were</w:t>
      </w:r>
      <w:proofErr w:type="gramEnd"/>
      <w:r w:rsidRPr="00C40532">
        <w:rPr>
          <w:rFonts w:ascii="Times New Roman" w:hAnsi="Times New Roman" w:cs="Times New Roman"/>
          <w:i/>
          <w:sz w:val="24"/>
          <w:szCs w:val="24"/>
          <w:lang w:val="en-US"/>
        </w:rPr>
        <w:t xml:space="preserve"> created at Bretton Woods.</w:t>
      </w:r>
    </w:p>
    <w:p w:rsidR="00472A60" w:rsidRPr="00C40532" w:rsidRDefault="00472A60" w:rsidP="00472A60">
      <w:pPr>
        <w:spacing w:after="0" w:line="240" w:lineRule="auto"/>
        <w:ind w:left="567" w:right="-284" w:firstLine="709"/>
        <w:jc w:val="both"/>
        <w:rPr>
          <w:rFonts w:ascii="Times New Roman" w:hAnsi="Times New Roman" w:cs="Times New Roman"/>
          <w:i/>
          <w:sz w:val="24"/>
          <w:szCs w:val="24"/>
          <w:lang w:val="en-US"/>
        </w:rPr>
      </w:pPr>
    </w:p>
    <w:p w:rsidR="00472A60" w:rsidRPr="00C40532" w:rsidRDefault="00472A60" w:rsidP="00472A60">
      <w:pPr>
        <w:spacing w:after="0" w:line="240" w:lineRule="auto"/>
        <w:ind w:left="567" w:right="-284" w:firstLine="709"/>
        <w:jc w:val="both"/>
        <w:rPr>
          <w:rFonts w:ascii="Times New Roman" w:hAnsi="Times New Roman" w:cs="Times New Roman"/>
          <w:i/>
          <w:sz w:val="24"/>
          <w:szCs w:val="24"/>
          <w:lang w:val="en-US"/>
        </w:rPr>
      </w:pPr>
    </w:p>
    <w:p w:rsidR="00472A60" w:rsidRPr="00C40532" w:rsidRDefault="00472A60" w:rsidP="00472A60">
      <w:pPr>
        <w:pStyle w:val="a4"/>
        <w:numPr>
          <w:ilvl w:val="0"/>
          <w:numId w:val="11"/>
        </w:numPr>
        <w:tabs>
          <w:tab w:val="left" w:pos="1843"/>
        </w:tabs>
        <w:spacing w:after="0" w:line="240" w:lineRule="auto"/>
        <w:ind w:right="-284" w:hanging="2403"/>
        <w:rPr>
          <w:rFonts w:ascii="Times New Roman" w:hAnsi="Times New Roman" w:cs="Times New Roman"/>
          <w:b/>
          <w:sz w:val="24"/>
          <w:szCs w:val="24"/>
          <w:lang w:val="en-US"/>
        </w:rPr>
      </w:pPr>
      <w:r w:rsidRPr="00C40532">
        <w:rPr>
          <w:rFonts w:ascii="Times New Roman" w:eastAsia="Times New Roman" w:hAnsi="Times New Roman" w:cs="Times New Roman"/>
          <w:b/>
          <w:color w:val="000000"/>
          <w:sz w:val="24"/>
          <w:szCs w:val="24"/>
          <w:lang w:val="en-US"/>
        </w:rPr>
        <w:t>Modern neoclassical theory of public finance</w:t>
      </w:r>
    </w:p>
    <w:p w:rsidR="00472A60" w:rsidRPr="00C40532" w:rsidRDefault="00472A60" w:rsidP="00472A60">
      <w:pPr>
        <w:spacing w:after="0" w:line="240" w:lineRule="auto"/>
        <w:ind w:right="-284"/>
        <w:rPr>
          <w:rFonts w:ascii="Times New Roman" w:hAnsi="Times New Roman" w:cs="Times New Roman"/>
          <w:sz w:val="24"/>
          <w:szCs w:val="24"/>
          <w:lang w:val="en-US"/>
        </w:rPr>
      </w:pPr>
    </w:p>
    <w:p w:rsidR="00472A60" w:rsidRPr="00C40532" w:rsidRDefault="00472A60" w:rsidP="00472A60">
      <w:pPr>
        <w:spacing w:after="0" w:line="240" w:lineRule="auto"/>
        <w:ind w:right="-284" w:firstLine="708"/>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Present day dominant school of economic thought built on the foundation laid by the 18th century (classical) theories of Adam Smith (1723-1790) and David Ricardo (1772-1823), and refined by the 19th and 20th century theories of Alfred Marshall (1842-1924), Vilfredo Pareto (1848-1923), John Clark (1847-1938), and Irving Fisher (1867-1947). It is 'classical' in the sense that it based on the belief that competition leads to an efficient allocation of resources, and regulates economic activity that establishes equilibrium between demand and supply through the operation of market forces.</w:t>
      </w:r>
    </w:p>
    <w:p w:rsidR="00472A60" w:rsidRPr="00C40532" w:rsidRDefault="00472A60" w:rsidP="00472A60">
      <w:pPr>
        <w:spacing w:after="0" w:line="240" w:lineRule="auto"/>
        <w:ind w:right="-284" w:firstLine="708"/>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It is 'neo' in the sense that it departs sharply from the classical viewpoint in its analytic approach that places great emphasis on mathematical techniques. In opposition to Keynesian economics, this </w:t>
      </w:r>
      <w:r w:rsidRPr="00C40532">
        <w:rPr>
          <w:rFonts w:ascii="Times New Roman" w:hAnsi="Times New Roman" w:cs="Times New Roman"/>
          <w:sz w:val="24"/>
          <w:szCs w:val="24"/>
          <w:lang w:val="en-US"/>
        </w:rPr>
        <w:lastRenderedPageBreak/>
        <w:t>school states that savings determine investment (not the other way round), and is concerned primarily with market equilibrium and growth at full employment instead of with the under-employment of resources. Not to be confused with new classical economics.</w:t>
      </w:r>
    </w:p>
    <w:p w:rsidR="00472A60" w:rsidRPr="00C40532" w:rsidRDefault="00472A60" w:rsidP="00472A60">
      <w:pPr>
        <w:spacing w:after="0" w:line="240" w:lineRule="auto"/>
        <w:ind w:right="-284" w:firstLine="708"/>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Neoclassical economics grew out of the Classical School of economic thought proposed by economist Adam Smith in the 18th century. It sought to become a more encompassing economic theory by introducing two new concepts to Classical economics: perceived value (utility) and marginalism.</w:t>
      </w:r>
    </w:p>
    <w:p w:rsidR="00472A60" w:rsidRPr="00C40532" w:rsidRDefault="00472A60" w:rsidP="00472A60">
      <w:pPr>
        <w:spacing w:after="0" w:line="240" w:lineRule="auto"/>
        <w:ind w:right="-284" w:firstLine="708"/>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Classical theory states that a product’s value consists of the cost of materials plus the cost of labor, which factor into price. Neoclassical theory, however, suggests that consumers often perceive a good as having a greater value beyond its production cost, which would affect both price and demand. The theory also states that economic decisions are sometimes made based on </w:t>
      </w:r>
      <w:proofErr w:type="gramStart"/>
      <w:r w:rsidRPr="00C40532">
        <w:rPr>
          <w:rFonts w:ascii="Times New Roman" w:hAnsi="Times New Roman" w:cs="Times New Roman"/>
          <w:sz w:val="24"/>
          <w:szCs w:val="24"/>
          <w:lang w:val="en-US"/>
        </w:rPr>
        <w:t>margins,</w:t>
      </w:r>
      <w:proofErr w:type="gramEnd"/>
      <w:r w:rsidRPr="00C40532">
        <w:rPr>
          <w:rFonts w:ascii="Times New Roman" w:hAnsi="Times New Roman" w:cs="Times New Roman"/>
          <w:sz w:val="24"/>
          <w:szCs w:val="24"/>
          <w:lang w:val="en-US"/>
        </w:rPr>
        <w:t xml:space="preserve"> or the perceived likelihood that an economic choice will turn out to be profitable or beneficial in the future.</w:t>
      </w:r>
    </w:p>
    <w:p w:rsidR="00472A60" w:rsidRPr="00C40532" w:rsidRDefault="00472A60" w:rsidP="00472A60">
      <w:pPr>
        <w:spacing w:after="0" w:line="240" w:lineRule="auto"/>
        <w:ind w:right="-284" w:firstLine="708"/>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Though the term “neoclassical economics” was coined in 1900, historians trace the theory’s origins back to the 1870s through the works of economists William Stanley Jevons, Carl Menger and Leon Walras. These economists focused on how the perceived usefulness, or utility, of goods affected market forces. Since utility is determined at the consumer level, neoclassical economics largely became a study in microeconomics. </w:t>
      </w:r>
    </w:p>
    <w:p w:rsidR="00472A60" w:rsidRPr="00C40532" w:rsidRDefault="00472A60" w:rsidP="00472A60">
      <w:pPr>
        <w:spacing w:after="0" w:line="240" w:lineRule="auto"/>
        <w:ind w:right="-284" w:firstLine="708"/>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Neoclassical theory operates on a few basic assumptions–mainly that economic decisions are always made rationally based on fully informed evaluations of utility. In other words, consumers compare goods and purchase the ones having the greatest utility, or highest personal value. The consumer’s main goal, the theory states, is to maximize personal satisfaction. Likewise, the goal of companies is to maximize profits. When consumers and companies both achieve their goals, markets experience economic equilibrium. In 1933, economists Joan Robinson and Edward H. Chamberlin expanded the theory to include the idea of “imperfect competition” to explain how consumers and businesses continue to compete when some have an unfair advantage over others, such as in a monopoly. Later, other economists incorporated the principles of Keynesian macroeconomics into the theory. Thus, neoclassical economics gradually came to encompass a wide array of ideas from various schools of economic thought. </w:t>
      </w:r>
    </w:p>
    <w:p w:rsidR="00472A60" w:rsidRPr="00C40532" w:rsidRDefault="00472A60" w:rsidP="00472A60">
      <w:pPr>
        <w:spacing w:after="0" w:line="240" w:lineRule="auto"/>
        <w:ind w:right="-284" w:firstLine="708"/>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Some economists, however, reject the core assumptions of neoclassical economics as unrealistic. They argue that people and even businesses do not always behave rationally or make fully informed decisions. They criticize neoclassical economists for relying too heavily on mathematical models to describe markets, claiming such formulas are based on achieving economic utopia, not explaining how real markets operate. Mathematical formulas, they say, are too inflexible to accurately describe or predict human behavior, and too restrictive to apply to developing economies. Nevertheless, neoclassical economics remains the leading economic theory of the 20th and 21st centuries.</w:t>
      </w:r>
    </w:p>
    <w:p w:rsidR="00472A60" w:rsidRPr="00C40532" w:rsidRDefault="00472A60" w:rsidP="00472A60">
      <w:pPr>
        <w:spacing w:after="0" w:line="240" w:lineRule="auto"/>
        <w:ind w:right="-284"/>
        <w:rPr>
          <w:rFonts w:ascii="Times New Roman" w:hAnsi="Times New Roman" w:cs="Times New Roman"/>
          <w:sz w:val="24"/>
          <w:szCs w:val="24"/>
          <w:lang w:val="en-US"/>
        </w:rPr>
      </w:pPr>
    </w:p>
    <w:p w:rsidR="00472A60" w:rsidRPr="00C40532" w:rsidRDefault="00472A60" w:rsidP="00472A60">
      <w:pPr>
        <w:spacing w:after="0" w:line="240" w:lineRule="auto"/>
        <w:ind w:right="-284"/>
        <w:rPr>
          <w:rFonts w:ascii="Times New Roman" w:hAnsi="Times New Roman" w:cs="Times New Roman"/>
          <w:sz w:val="24"/>
          <w:szCs w:val="24"/>
          <w:lang w:val="en-US"/>
        </w:rPr>
      </w:pPr>
    </w:p>
    <w:p w:rsidR="00472A60" w:rsidRPr="00C40532" w:rsidRDefault="00472A60" w:rsidP="00472A60">
      <w:pPr>
        <w:pStyle w:val="a4"/>
        <w:numPr>
          <w:ilvl w:val="0"/>
          <w:numId w:val="11"/>
        </w:numPr>
        <w:tabs>
          <w:tab w:val="left" w:pos="1854"/>
        </w:tabs>
        <w:spacing w:after="0" w:line="240" w:lineRule="auto"/>
        <w:ind w:right="-284"/>
        <w:rPr>
          <w:rFonts w:ascii="Times New Roman" w:hAnsi="Times New Roman" w:cs="Times New Roman"/>
          <w:b/>
          <w:sz w:val="24"/>
          <w:szCs w:val="24"/>
          <w:lang w:val="en-US"/>
        </w:rPr>
      </w:pPr>
      <w:r w:rsidRPr="00C40532">
        <w:rPr>
          <w:rFonts w:ascii="Times New Roman" w:eastAsia="Times New Roman" w:hAnsi="Times New Roman" w:cs="Times New Roman"/>
          <w:b/>
          <w:color w:val="000000"/>
          <w:sz w:val="24"/>
          <w:szCs w:val="24"/>
          <w:lang w:val="en-US"/>
        </w:rPr>
        <w:t>Neoclassical synthesis</w:t>
      </w:r>
    </w:p>
    <w:p w:rsidR="00472A60" w:rsidRPr="00C40532" w:rsidRDefault="00472A60" w:rsidP="00472A60">
      <w:pPr>
        <w:spacing w:after="0" w:line="240" w:lineRule="auto"/>
        <w:ind w:right="-284"/>
        <w:rPr>
          <w:rFonts w:ascii="Times New Roman" w:hAnsi="Times New Roman" w:cs="Times New Roman"/>
          <w:sz w:val="24"/>
          <w:szCs w:val="24"/>
          <w:lang w:val="en-US"/>
        </w:rPr>
      </w:pPr>
    </w:p>
    <w:p w:rsidR="00472A60" w:rsidRPr="00C40532" w:rsidRDefault="00472A60" w:rsidP="00472A60">
      <w:pPr>
        <w:autoSpaceDE w:val="0"/>
        <w:autoSpaceDN w:val="0"/>
        <w:adjustRightInd w:val="0"/>
        <w:spacing w:after="0" w:line="240" w:lineRule="auto"/>
        <w:ind w:right="-284"/>
        <w:jc w:val="both"/>
        <w:rPr>
          <w:rFonts w:ascii="Times New Roman" w:eastAsiaTheme="minorHAnsi" w:hAnsi="Times New Roman" w:cs="Times New Roman"/>
          <w:color w:val="231F20"/>
          <w:sz w:val="24"/>
          <w:szCs w:val="24"/>
          <w:lang w:val="en-US" w:eastAsia="en-US"/>
        </w:rPr>
      </w:pPr>
      <w:r w:rsidRPr="00C40532">
        <w:rPr>
          <w:rFonts w:ascii="Times New Roman" w:hAnsi="Times New Roman" w:cs="Times New Roman"/>
          <w:sz w:val="24"/>
          <w:szCs w:val="24"/>
          <w:lang w:val="en-US"/>
        </w:rPr>
        <w:tab/>
      </w:r>
      <w:proofErr w:type="gramStart"/>
      <w:r w:rsidRPr="00C40532">
        <w:rPr>
          <w:rFonts w:ascii="Times New Roman" w:eastAsiaTheme="minorHAnsi" w:hAnsi="Times New Roman" w:cs="Times New Roman"/>
          <w:color w:val="231F20"/>
          <w:sz w:val="24"/>
          <w:szCs w:val="24"/>
          <w:lang w:val="en-US" w:eastAsia="en-US"/>
        </w:rPr>
        <w:t>The term ‘neoclassical synthesis’ appears to have been coined by Paul Samuelson to denote the consensus view of macroeconomics which emerged in the mid-1950s in the United States.</w:t>
      </w:r>
      <w:proofErr w:type="gramEnd"/>
      <w:r w:rsidRPr="00C40532">
        <w:rPr>
          <w:rFonts w:ascii="Times New Roman" w:eastAsiaTheme="minorHAnsi" w:hAnsi="Times New Roman" w:cs="Times New Roman"/>
          <w:color w:val="231F20"/>
          <w:sz w:val="24"/>
          <w:szCs w:val="24"/>
          <w:lang w:val="en-US" w:eastAsia="en-US"/>
        </w:rPr>
        <w:t xml:space="preserve"> In the third edition of Economics (1955, p. 212), he wrote: </w:t>
      </w:r>
    </w:p>
    <w:p w:rsidR="00472A60" w:rsidRPr="00C40532" w:rsidRDefault="00472A60" w:rsidP="00472A60">
      <w:pPr>
        <w:autoSpaceDE w:val="0"/>
        <w:autoSpaceDN w:val="0"/>
        <w:adjustRightInd w:val="0"/>
        <w:spacing w:after="0" w:line="240" w:lineRule="auto"/>
        <w:ind w:right="-284" w:firstLine="708"/>
        <w:jc w:val="both"/>
        <w:rPr>
          <w:rFonts w:ascii="Times New Roman" w:hAnsi="Times New Roman" w:cs="Times New Roman"/>
          <w:sz w:val="24"/>
          <w:szCs w:val="24"/>
          <w:lang w:val="en-US"/>
        </w:rPr>
      </w:pPr>
      <w:r w:rsidRPr="00C40532">
        <w:rPr>
          <w:rFonts w:ascii="Times New Roman" w:eastAsiaTheme="minorHAnsi" w:hAnsi="Times New Roman" w:cs="Times New Roman"/>
          <w:color w:val="231F20"/>
          <w:sz w:val="24"/>
          <w:szCs w:val="24"/>
          <w:lang w:val="en-US" w:eastAsia="en-US"/>
        </w:rPr>
        <w:t>In recent years 90 per cent of American Economists have stopped being ‘Keynesian economists’ or ‘anti-Keynesian economists’. Instead they have worked toward a synthesis of whatever is valuable in older economics and in modern theories of income determination. The result might be called neo-classical economics and is accepted in its broad outlines by all but about 5 per cent of extreme left wing and right wing writers.</w:t>
      </w:r>
    </w:p>
    <w:p w:rsidR="00472A60" w:rsidRPr="00C40532" w:rsidRDefault="00472A60" w:rsidP="00472A60">
      <w:pPr>
        <w:autoSpaceDE w:val="0"/>
        <w:autoSpaceDN w:val="0"/>
        <w:adjustRightInd w:val="0"/>
        <w:spacing w:after="0" w:line="240" w:lineRule="auto"/>
        <w:ind w:right="-284" w:firstLine="708"/>
        <w:jc w:val="both"/>
        <w:rPr>
          <w:rFonts w:ascii="Times New Roman" w:eastAsiaTheme="minorHAnsi" w:hAnsi="Times New Roman" w:cs="Times New Roman"/>
          <w:color w:val="231F20"/>
          <w:sz w:val="24"/>
          <w:szCs w:val="24"/>
          <w:lang w:val="en-US" w:eastAsia="en-US"/>
        </w:rPr>
      </w:pPr>
      <w:r w:rsidRPr="00C40532">
        <w:rPr>
          <w:rFonts w:ascii="Times New Roman" w:eastAsiaTheme="minorHAnsi" w:hAnsi="Times New Roman" w:cs="Times New Roman"/>
          <w:color w:val="231F20"/>
          <w:sz w:val="24"/>
          <w:szCs w:val="24"/>
          <w:lang w:val="en-US" w:eastAsia="en-US"/>
        </w:rPr>
        <w:t>Unlike the old neoclassical economics, the new synthesis did not expect full employment to occur under laissez-faire; it believed, however, that, by proper use of monetary and fiscal policy, the old classical truths would come back into relevance.</w:t>
      </w:r>
    </w:p>
    <w:p w:rsidR="00472A60" w:rsidRPr="00C40532" w:rsidRDefault="00472A60" w:rsidP="00472A60">
      <w:pPr>
        <w:autoSpaceDE w:val="0"/>
        <w:autoSpaceDN w:val="0"/>
        <w:adjustRightInd w:val="0"/>
        <w:spacing w:after="0" w:line="240" w:lineRule="auto"/>
        <w:ind w:right="-284" w:firstLine="708"/>
        <w:jc w:val="both"/>
        <w:rPr>
          <w:rFonts w:ascii="Times New Roman" w:eastAsiaTheme="minorHAnsi" w:hAnsi="Times New Roman" w:cs="Times New Roman"/>
          <w:color w:val="231F20"/>
          <w:sz w:val="24"/>
          <w:szCs w:val="24"/>
          <w:lang w:val="en-US" w:eastAsia="en-US"/>
        </w:rPr>
      </w:pPr>
      <w:r w:rsidRPr="00C40532">
        <w:rPr>
          <w:rFonts w:ascii="Times New Roman" w:eastAsiaTheme="minorHAnsi" w:hAnsi="Times New Roman" w:cs="Times New Roman"/>
          <w:color w:val="231F20"/>
          <w:sz w:val="24"/>
          <w:szCs w:val="24"/>
          <w:lang w:val="en-US" w:eastAsia="en-US"/>
        </w:rPr>
        <w:lastRenderedPageBreak/>
        <w:t>This synthesis was to remain the dominant paradigm for another 20 years, in which most of the important contributions, by Hicks, Modigliani, Solow, Tobin and others, were to fit quite naturally. Its apotheosis was probably the large econometric models, in particular the MPS model developed by Modigliani and his collaborators, which incorporated most of these contributions in an empirically based and mathematically coherent model of the US economy.</w:t>
      </w:r>
    </w:p>
    <w:p w:rsidR="00472A60" w:rsidRPr="00C40532" w:rsidRDefault="00472A60" w:rsidP="00472A60">
      <w:pPr>
        <w:autoSpaceDE w:val="0"/>
        <w:autoSpaceDN w:val="0"/>
        <w:adjustRightInd w:val="0"/>
        <w:spacing w:after="0" w:line="240" w:lineRule="auto"/>
        <w:ind w:right="-284" w:firstLine="708"/>
        <w:jc w:val="both"/>
        <w:rPr>
          <w:rFonts w:ascii="Times New Roman" w:hAnsi="Times New Roman" w:cs="Times New Roman"/>
          <w:sz w:val="24"/>
          <w:szCs w:val="24"/>
          <w:lang w:val="en-US"/>
        </w:rPr>
      </w:pPr>
      <w:r w:rsidRPr="00C40532">
        <w:rPr>
          <w:rFonts w:ascii="Times New Roman" w:eastAsiaTheme="minorHAnsi" w:hAnsi="Times New Roman" w:cs="Times New Roman"/>
          <w:color w:val="231F20"/>
          <w:sz w:val="24"/>
          <w:szCs w:val="24"/>
          <w:lang w:val="en-US" w:eastAsia="en-US"/>
        </w:rPr>
        <w:t>The synthesis had, however, suffered from the start from schizophrenia in its relation to microeconomics. This schizophrenia was eventually to lead to a serious crisis from which it is only now re-emerging. I describe in turn the initial synthesis, the mature synthesis, the crisis and the new emerging synthesis.</w:t>
      </w:r>
    </w:p>
    <w:p w:rsidR="00472A60" w:rsidRPr="00C40532" w:rsidRDefault="00472A60" w:rsidP="00472A60">
      <w:pPr>
        <w:spacing w:after="0" w:line="240" w:lineRule="auto"/>
        <w:ind w:right="-284" w:firstLine="708"/>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Neoclassical synthesis is a postwar academic movement in economics that attempts to absorb the macroeconomic thought of John Maynard Keynes into the thought of neoclassical economics. Mainstream economics is largely dominated by the resulting synthesis, being largely Keynesian in macroeconomics and neoclassical in microeconomics</w:t>
      </w:r>
    </w:p>
    <w:p w:rsidR="00472A60" w:rsidRPr="00C40532" w:rsidRDefault="00472A60" w:rsidP="00472A60">
      <w:pPr>
        <w:spacing w:after="0" w:line="240" w:lineRule="auto"/>
        <w:ind w:right="-284"/>
        <w:rPr>
          <w:rFonts w:ascii="Times New Roman" w:hAnsi="Times New Roman" w:cs="Times New Roman"/>
          <w:sz w:val="24"/>
          <w:szCs w:val="24"/>
          <w:lang w:val="en-US"/>
        </w:rPr>
      </w:pPr>
    </w:p>
    <w:p w:rsidR="00472A60" w:rsidRPr="00C40532" w:rsidRDefault="00472A60" w:rsidP="00472A60">
      <w:pPr>
        <w:spacing w:after="0" w:line="240" w:lineRule="auto"/>
        <w:ind w:right="-284"/>
        <w:rPr>
          <w:rFonts w:ascii="Times New Roman" w:hAnsi="Times New Roman" w:cs="Times New Roman"/>
          <w:b/>
          <w:sz w:val="24"/>
          <w:szCs w:val="24"/>
          <w:lang w:val="en-US"/>
        </w:rPr>
      </w:pPr>
    </w:p>
    <w:p w:rsidR="00472A60" w:rsidRPr="00C40532" w:rsidRDefault="00472A60" w:rsidP="00472A60">
      <w:pPr>
        <w:pStyle w:val="a4"/>
        <w:numPr>
          <w:ilvl w:val="0"/>
          <w:numId w:val="11"/>
        </w:numPr>
        <w:tabs>
          <w:tab w:val="left" w:pos="1624"/>
        </w:tabs>
        <w:spacing w:after="0" w:line="240" w:lineRule="auto"/>
        <w:ind w:right="-284" w:hanging="2686"/>
        <w:jc w:val="center"/>
        <w:rPr>
          <w:rFonts w:ascii="Times New Roman" w:hAnsi="Times New Roman" w:cs="Times New Roman"/>
          <w:b/>
          <w:sz w:val="24"/>
          <w:szCs w:val="24"/>
          <w:lang w:val="en-US"/>
        </w:rPr>
      </w:pPr>
      <w:r w:rsidRPr="00C40532">
        <w:rPr>
          <w:rFonts w:ascii="Times New Roman" w:hAnsi="Times New Roman" w:cs="Times New Roman"/>
          <w:b/>
          <w:color w:val="000000"/>
          <w:sz w:val="24"/>
          <w:szCs w:val="24"/>
          <w:lang w:val="en-US"/>
        </w:rPr>
        <w:t>The concept of "M</w:t>
      </w:r>
      <w:r w:rsidRPr="00C40532">
        <w:rPr>
          <w:rFonts w:ascii="Times New Roman" w:eastAsia="Times New Roman" w:hAnsi="Times New Roman" w:cs="Times New Roman"/>
          <w:b/>
          <w:color w:val="000000"/>
          <w:sz w:val="24"/>
          <w:szCs w:val="24"/>
          <w:lang w:val="en-US"/>
        </w:rPr>
        <w:t>ultiplier"</w:t>
      </w:r>
    </w:p>
    <w:p w:rsidR="00472A60" w:rsidRPr="00C40532" w:rsidRDefault="00472A60" w:rsidP="00472A60">
      <w:pPr>
        <w:spacing w:after="0" w:line="240" w:lineRule="auto"/>
        <w:ind w:right="-284"/>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Concept of Multiplier: </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theory of multiplier occupies an important place in the modern theory of income and employment. The concept of multiplier was first of all developed by F.A. Kahn in the early 1930s. But Keynes later further refined it. F.A. Kahn developed the concept of multiplier with reference to the increase in employment, direct as well as indirect, as a result of initial increase in investment and employment.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Keynes, however, propounded the concept of multiplier with reference to the increase in total income, direct as well as indirect, as a result of original increase in investment and income. Therefore, whereas Kahn’s multiplier is known as ’employment multiplier’, Keynes’s multiplier is known as investment or income multiplier.</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essence of multiplier is that total increase in income, output or employment is manifold the original increase in investment. For example, if investment equal to Rs. 100 crores is made, then the income will not rise by Rs. 100 crores only but a multiple of it.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If as a result of the investment of Rs. 100 crores, the national income increases by Rs. 300 crores, multiplier is equal to 3. If as a result of investment of Rs. 100 crores, total national income increases by Rs. 400 crores, multiplier is 4. The multiplier is, therefore, the ratio of increment in income to the increment in investment. If ΔI stands for increment in investment and AY stands for the resultant increase in income, then multiplier is equal to the ratio of increment in income (</w:t>
      </w:r>
      <w:proofErr w:type="gramStart"/>
      <w:r w:rsidRPr="00C40532">
        <w:rPr>
          <w:rFonts w:ascii="Times New Roman" w:hAnsi="Times New Roman" w:cs="Times New Roman"/>
          <w:sz w:val="24"/>
          <w:szCs w:val="24"/>
          <w:lang w:val="en-US"/>
        </w:rPr>
        <w:t>Δy</w:t>
      </w:r>
      <w:proofErr w:type="gramEnd"/>
      <w:r w:rsidRPr="00C40532">
        <w:rPr>
          <w:rFonts w:ascii="Times New Roman" w:hAnsi="Times New Roman" w:cs="Times New Roman"/>
          <w:sz w:val="24"/>
          <w:szCs w:val="24"/>
          <w:lang w:val="en-US"/>
        </w:rPr>
        <w:t>) to the increment in investment (ΔI). Therefore k = ΔY/ΔI where k stands for multiplier.</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Now, the question is why the increase in income is many times more than the initial increase in investment. It is easy to explain this. Suppose Government undertakes investment expenditure equal to Rs. 100 crores on some public works, say the construction of rural roads.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For this Government will pay wages to the labourers engaged, prices for the materials to the suppliers and remunerations to other factors </w:t>
      </w:r>
      <w:proofErr w:type="gramStart"/>
      <w:r w:rsidRPr="00C40532">
        <w:rPr>
          <w:rFonts w:ascii="Times New Roman" w:hAnsi="Times New Roman" w:cs="Times New Roman"/>
          <w:sz w:val="24"/>
          <w:szCs w:val="24"/>
          <w:lang w:val="en-US"/>
        </w:rPr>
        <w:t>who</w:t>
      </w:r>
      <w:proofErr w:type="gramEnd"/>
      <w:r w:rsidRPr="00C40532">
        <w:rPr>
          <w:rFonts w:ascii="Times New Roman" w:hAnsi="Times New Roman" w:cs="Times New Roman"/>
          <w:sz w:val="24"/>
          <w:szCs w:val="24"/>
          <w:lang w:val="en-US"/>
        </w:rPr>
        <w:t xml:space="preserve"> make contribution to the work of road-building. The total cost will amount to Rs. 100 crores. This will increase incomes of the people equal to Rs. 100 crores.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But this is not all. The people who receive Rs. 100 crores will spend a good part of them on consumer goods. </w:t>
      </w:r>
      <w:proofErr w:type="gramStart"/>
      <w:r w:rsidRPr="00C40532">
        <w:rPr>
          <w:rFonts w:ascii="Times New Roman" w:hAnsi="Times New Roman" w:cs="Times New Roman"/>
          <w:sz w:val="24"/>
          <w:szCs w:val="24"/>
          <w:lang w:val="en-US"/>
        </w:rPr>
        <w:t>Suppose marginal propensity to consume of the people is 4/5 or 80%.</w:t>
      </w:r>
      <w:proofErr w:type="gramEnd"/>
      <w:r w:rsidRPr="00C40532">
        <w:rPr>
          <w:rFonts w:ascii="Times New Roman" w:hAnsi="Times New Roman" w:cs="Times New Roman"/>
          <w:sz w:val="24"/>
          <w:szCs w:val="24"/>
          <w:lang w:val="en-US"/>
        </w:rPr>
        <w:t xml:space="preserve"> Then out of Rs. 100 crores they will spend Rs. 80 crores on consumer goods, which would increase incomes of those people who supply consumer goods equal to Rs. 80 crores. But those who receive these Rs. 80 crores will also in turn spend these incomes, depending upon their marginal propensity to consume. If their marginal propensity to consume is also 4/5, then they will spend Rs. 64 crores on consumer goods.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Thus, this will further increase incomes of some other people equal to Rs. 64 crores. In this way, the chain of consumption expenditure would continue and the income of the people will go on increasing. But every additional increase in income will be progressively less since a part of the income received will be saved. Thus, we see that the income will not increase by only Rs. 100 crores, which was initially invested in the construction of roads, but by many time more.</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Assumptions of Multiplier Theory: </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our above explanation of multiplier, we have made many simplifying assumptions. First, we have assumed that the marginal propensity to consume remains constant throughout as the income increases in various rounds of consumption expenditure. However, the marginal propensity to consume may differ in various rounds of consumption expenditure.</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But this constancy of marginal propensity to consume is a realistic assumption, since all available empirical evidence shows that marginal propensity to consume is very stable in the short run. Secondly, we have assumed that there is a net increase in investment in a period and no further indirect effects on investment in that </w:t>
      </w:r>
      <w:proofErr w:type="gramStart"/>
      <w:r w:rsidRPr="00C40532">
        <w:rPr>
          <w:rFonts w:ascii="Times New Roman" w:hAnsi="Times New Roman" w:cs="Times New Roman"/>
          <w:sz w:val="24"/>
          <w:szCs w:val="24"/>
          <w:lang w:val="en-US"/>
        </w:rPr>
        <w:t>period occur</w:t>
      </w:r>
      <w:proofErr w:type="gramEnd"/>
      <w:r w:rsidRPr="00C40532">
        <w:rPr>
          <w:rFonts w:ascii="Times New Roman" w:hAnsi="Times New Roman" w:cs="Times New Roman"/>
          <w:sz w:val="24"/>
          <w:szCs w:val="24"/>
          <w:lang w:val="en-US"/>
        </w:rPr>
        <w:t xml:space="preserve"> or if they occur they have been taken into account so that there is a given net increase in investment.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Further, we have assumed that there is no any time-lag between the increase in investment and the resultant increment in income. That is, increment in income takes place instantaneously as a result of increment in investment. J.M. Keynes ignored the time-lag in the process of income generation and therefore his multiplier is also called instantaneous multiplier. In recent years, the importance of time lag has been recognised and concept of dynamic multiplier has been developed on that basis. But in an ele­mentary study as the present one the time lags will be ignored as was done by Keynes.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Another important assumption in the theory of multiplier is that excess capacity exists in the consumer goods industries so that when the demand for them increases, more amounts of consumer goods can be produced to meet this demand. If there is no excess capacity in consumer goods industries, the increase in demand as a result of some original increase in investment will bring about rise in prices rather than increases in real income, output and employment. </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Keynes’s multiplier was evolved in the context of advanced capitalist economies which were in grip of depression and in times of depression and there did </w:t>
      </w:r>
      <w:proofErr w:type="gramStart"/>
      <w:r w:rsidRPr="00C40532">
        <w:rPr>
          <w:rFonts w:ascii="Times New Roman" w:hAnsi="Times New Roman" w:cs="Times New Roman"/>
          <w:sz w:val="24"/>
          <w:szCs w:val="24"/>
          <w:lang w:val="en-US"/>
        </w:rPr>
        <w:t>exist</w:t>
      </w:r>
      <w:proofErr w:type="gramEnd"/>
      <w:r w:rsidRPr="00C40532">
        <w:rPr>
          <w:rFonts w:ascii="Times New Roman" w:hAnsi="Times New Roman" w:cs="Times New Roman"/>
          <w:sz w:val="24"/>
          <w:szCs w:val="24"/>
          <w:lang w:val="en-US"/>
        </w:rPr>
        <w:t xml:space="preserve"> excess capacity in the consumer goods industries due to lack of aggregate demand. The Keynesian multiplier effect is very small in developing countries like India since there is not much excess capacity in consumer goods industries.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our above analysis of the multiplier process we have taken a closed economy, that is, we have not taken into account imports and exports. If ours were an open economy, then a part of the increment in consumption expenditure would have been made on imports of goods from abroad.</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This would have caused increment in income in foreign countries rather than within the country. This will reduce the value of the multiplier. Imports are important leakage from the multiplier process and we have ignored them in our above analysis for the purpose of simplicity.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It is worth noting that multiplier not only works in money terms but also in real terms. In other words, multiple increments in income as a result of a given net increase in investment </w:t>
      </w:r>
      <w:proofErr w:type="gramStart"/>
      <w:r w:rsidRPr="00C40532">
        <w:rPr>
          <w:rFonts w:ascii="Times New Roman" w:hAnsi="Times New Roman" w:cs="Times New Roman"/>
          <w:sz w:val="24"/>
          <w:szCs w:val="24"/>
          <w:lang w:val="en-US"/>
        </w:rPr>
        <w:t>does</w:t>
      </w:r>
      <w:proofErr w:type="gramEnd"/>
      <w:r w:rsidRPr="00C40532">
        <w:rPr>
          <w:rFonts w:ascii="Times New Roman" w:hAnsi="Times New Roman" w:cs="Times New Roman"/>
          <w:sz w:val="24"/>
          <w:szCs w:val="24"/>
          <w:lang w:val="en-US"/>
        </w:rPr>
        <w:t xml:space="preserve"> not only take place in money terms but also in terms of real output, that is, in terms of goods and services. When incomes increase as a result of investment and these increments in income are spent on consumer goods, the output of consumer goods is increased to meet the extra demand brought about by increased incomes.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Therefore, real income or output, increases by the same amount as the increment in money incomes, since the prices of goods have been assumed to be constant. Of course, we have assumed, as has been mentioned above, that there exists excess productive capacity in the consumer goods industries so that when the demand for consumer goods increases, their production can be easily increased to meet this demand. However, if due to some bottlenecks output of goods cannot be increased in response to increasing demand, prices will rise and as result the real multiplier effect will be small.</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 xml:space="preserve">Diagrammatic Representation of Multiplier: </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We have already explained that the level of national income is determined by the equilib­rium between aggregate demand and aggregate supply. In other words, the level of national income is fixed at the level where C + I curve intersects the 45° income curve. With such a diagram we can explain the multiplier. The multiplier is illustrated in Fig. 9.1. In this figure C represents marginal propensity to consume. Marginal propensity to consume has been here assumed to be equal to 1/2 i.e., 0.5. Therefore, the slope of the curve C of marginal propensity to consume curve C has been taken to be equal to 0.5. C + I represents aggregate demand curve. It will be seen from Fig. 91 that the aggregate demand curve C + I which intersects the 45° line at point E so that the level of income equal to OY1 is determined.</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center"/>
        <w:rPr>
          <w:rFonts w:ascii="Times New Roman" w:hAnsi="Times New Roman" w:cs="Times New Roman"/>
          <w:sz w:val="24"/>
          <w:szCs w:val="24"/>
          <w:lang w:val="en-US"/>
        </w:rPr>
      </w:pPr>
      <w:r w:rsidRPr="00C40532">
        <w:rPr>
          <w:rFonts w:ascii="Times New Roman" w:hAnsi="Times New Roman" w:cs="Times New Roman"/>
          <w:noProof/>
          <w:sz w:val="24"/>
          <w:szCs w:val="24"/>
        </w:rPr>
        <w:drawing>
          <wp:inline distT="0" distB="0" distL="0" distR="0">
            <wp:extent cx="2976880" cy="283083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2976880" cy="2830830"/>
                    </a:xfrm>
                    <a:prstGeom prst="rect">
                      <a:avLst/>
                    </a:prstGeom>
                    <a:noFill/>
                    <a:ln w="9525">
                      <a:noFill/>
                      <a:miter lim="800000"/>
                      <a:headEnd/>
                      <a:tailEnd/>
                    </a:ln>
                  </pic:spPr>
                </pic:pic>
              </a:graphicData>
            </a:graphic>
          </wp:inline>
        </w:drawing>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tabs>
          <w:tab w:val="left" w:pos="996"/>
        </w:tabs>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If investment increases by the amount EH we can then find out how much increment in income will occur as a result of this. As a consequence of increase in investment by EH, the aggregate demand curve shifts upward to the new position C + I’. This new aggregate demand curve C + I’ intersects the 45° income line at point F so that the equilibrium level of income increases to OY2.</w:t>
      </w:r>
    </w:p>
    <w:p w:rsidR="00472A60" w:rsidRPr="00C40532" w:rsidRDefault="00472A60" w:rsidP="00472A60">
      <w:pPr>
        <w:tabs>
          <w:tab w:val="left" w:pos="996"/>
        </w:tabs>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Hence as a result of net increase in investment equal to EH, the income has increased by Y1Y2. It will be seen from the figure that Y1Y2 is greater than EH. On measuring, it will be found that Y1Y2 is twice the length of EH. This is as it is expected because the marginal propensity to consume is here equal to 1/2 and therefore the size of multiplier will be equal to 2.</w:t>
      </w:r>
    </w:p>
    <w:p w:rsidR="00472A60" w:rsidRPr="00C40532" w:rsidRDefault="00472A60" w:rsidP="00472A60">
      <w:pPr>
        <w:tabs>
          <w:tab w:val="left" w:pos="996"/>
        </w:tabs>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multiplier can be illustrated through saving-investment diagram also. In a previous chapter we explained the determination of national income also through saving the investment. Therefore, the multiplier can also be explained with the help of saving- investment diagram, as has been shown in Fig. 9.2. In this figure SS is the saving curve indicating that as the level of income increases, the community plans to save more. II is the investment curve showing the level of investment planned to be undertaken by the investors in the community.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center"/>
        <w:rPr>
          <w:rFonts w:ascii="Times New Roman" w:hAnsi="Times New Roman" w:cs="Times New Roman"/>
          <w:sz w:val="24"/>
          <w:szCs w:val="24"/>
          <w:lang w:val="en-US"/>
        </w:rPr>
      </w:pPr>
      <w:r w:rsidRPr="00C40532">
        <w:rPr>
          <w:rFonts w:ascii="Times New Roman" w:hAnsi="Times New Roman" w:cs="Times New Roman"/>
          <w:noProof/>
          <w:sz w:val="24"/>
          <w:szCs w:val="24"/>
        </w:rPr>
        <w:lastRenderedPageBreak/>
        <w:drawing>
          <wp:inline distT="0" distB="0" distL="0" distR="0">
            <wp:extent cx="3317240" cy="295719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317240" cy="2957195"/>
                    </a:xfrm>
                    <a:prstGeom prst="rect">
                      <a:avLst/>
                    </a:prstGeom>
                    <a:noFill/>
                    <a:ln w="9525">
                      <a:noFill/>
                      <a:miter lim="800000"/>
                      <a:headEnd/>
                      <a:tailEnd/>
                    </a:ln>
                  </pic:spPr>
                </pic:pic>
              </a:graphicData>
            </a:graphic>
          </wp:inline>
        </w:drawing>
      </w:r>
    </w:p>
    <w:p w:rsidR="00472A60" w:rsidRPr="00C40532" w:rsidRDefault="00472A60" w:rsidP="00472A60">
      <w:pPr>
        <w:tabs>
          <w:tab w:val="left" w:pos="1072"/>
        </w:tabs>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investment has been taken to be a constant amount and autonomous of changes in income. This investment level 01 has been determined by marginal efficiency of capital and the rate of interest. Investment being autonomous of income means that it does not change with the level of income.</w:t>
      </w:r>
    </w:p>
    <w:p w:rsidR="00472A60" w:rsidRPr="00C40532" w:rsidRDefault="00472A60" w:rsidP="00472A60">
      <w:pPr>
        <w:tabs>
          <w:tab w:val="left" w:pos="1072"/>
        </w:tabs>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Keynes treated investment as autonomous of income and we will here follow him. It will be seen from Fig. 9.2 that saving and investment curves intersect at point E, that is, planned saving and planned investment are in equilibrium at the level of income OY1.</w:t>
      </w:r>
    </w:p>
    <w:p w:rsidR="00472A60" w:rsidRPr="00C40532" w:rsidRDefault="00472A60" w:rsidP="00472A60">
      <w:pPr>
        <w:tabs>
          <w:tab w:val="left" w:pos="1072"/>
        </w:tabs>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Thus, with the given saving and investment curves level of income equal to OY1 is determined. Now suppose that there is an increase in investment by the amount II’. With this increase in investment, the investment curve shifts to the new dotted position I’I’.</w:t>
      </w:r>
    </w:p>
    <w:p w:rsidR="00472A60" w:rsidRPr="00C40532" w:rsidRDefault="00472A60" w:rsidP="00472A60">
      <w:pPr>
        <w:tabs>
          <w:tab w:val="left" w:pos="1072"/>
        </w:tabs>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This new investment curves I’I’ intersects the saving curve at point F and a new equilibrium as reached at the level of income OY2. A glance at the Fig. 9.2 will reveal that the increase in income Y1 Y2 is twice the increase in investment by II’. Thus multiplier is here equal to [K=1/0.5=2].</w:t>
      </w:r>
    </w:p>
    <w:p w:rsidR="00472A60" w:rsidRPr="00C40532" w:rsidRDefault="00472A60" w:rsidP="00472A60">
      <w:pPr>
        <w:spacing w:after="0" w:line="240" w:lineRule="auto"/>
        <w:ind w:right="-284"/>
        <w:rPr>
          <w:rFonts w:ascii="Times New Roman" w:hAnsi="Times New Roman" w:cs="Times New Roman"/>
          <w:sz w:val="24"/>
          <w:szCs w:val="24"/>
          <w:lang w:val="en-US"/>
        </w:rPr>
      </w:pPr>
    </w:p>
    <w:p w:rsidR="00472A60" w:rsidRPr="00C40532" w:rsidRDefault="00472A60" w:rsidP="00472A60">
      <w:pPr>
        <w:spacing w:after="0" w:line="240" w:lineRule="auto"/>
        <w:ind w:right="-284"/>
        <w:rPr>
          <w:rFonts w:ascii="Times New Roman" w:hAnsi="Times New Roman" w:cs="Times New Roman"/>
          <w:sz w:val="24"/>
          <w:szCs w:val="24"/>
          <w:lang w:val="en-US"/>
        </w:rPr>
      </w:pPr>
    </w:p>
    <w:p w:rsidR="00472A60" w:rsidRPr="00C40532" w:rsidRDefault="00472A60" w:rsidP="00472A60">
      <w:pPr>
        <w:pStyle w:val="a4"/>
        <w:numPr>
          <w:ilvl w:val="0"/>
          <w:numId w:val="11"/>
        </w:numPr>
        <w:tabs>
          <w:tab w:val="left" w:pos="2895"/>
        </w:tabs>
        <w:spacing w:after="0" w:line="240" w:lineRule="auto"/>
        <w:ind w:right="-284" w:hanging="1552"/>
        <w:rPr>
          <w:rFonts w:ascii="Times New Roman" w:hAnsi="Times New Roman" w:cs="Times New Roman"/>
          <w:b/>
          <w:sz w:val="24"/>
          <w:szCs w:val="24"/>
          <w:lang w:val="en-US"/>
        </w:rPr>
      </w:pPr>
      <w:r w:rsidRPr="00C40532">
        <w:rPr>
          <w:rFonts w:ascii="Times New Roman" w:eastAsia="Times New Roman" w:hAnsi="Times New Roman" w:cs="Times New Roman"/>
          <w:b/>
          <w:color w:val="000000"/>
          <w:sz w:val="24"/>
          <w:szCs w:val="24"/>
          <w:lang w:val="en-US"/>
        </w:rPr>
        <w:t>Post-Keynesian theory of public finance</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tabs>
          <w:tab w:val="left" w:pos="1915"/>
        </w:tabs>
        <w:spacing w:after="0" w:line="240" w:lineRule="auto"/>
        <w:ind w:right="-284" w:firstLine="709"/>
        <w:jc w:val="both"/>
        <w:rPr>
          <w:rFonts w:ascii="Times New Roman" w:hAnsi="Times New Roman" w:cs="Times New Roman"/>
          <w:sz w:val="24"/>
          <w:szCs w:val="24"/>
          <w:lang w:val="kk-KZ"/>
        </w:rPr>
      </w:pPr>
      <w:r w:rsidRPr="00C40532">
        <w:rPr>
          <w:rFonts w:ascii="Times New Roman" w:hAnsi="Times New Roman" w:cs="Times New Roman"/>
          <w:sz w:val="24"/>
          <w:szCs w:val="24"/>
          <w:lang w:val="en-US"/>
        </w:rPr>
        <w:t>The term post-Keynesian was first used to refer to a distinct school of economic thought by Eichner and Kregel (1975) and by the establishment of the Journal of Post Keynesian Economics in 1978. Prior to 1975, and occasionally in more recent work, post-Keynesian could simply mean economics carried out after 1936, the date of Keynes's The General Theory.</w:t>
      </w:r>
    </w:p>
    <w:p w:rsidR="00472A60" w:rsidRPr="00C40532" w:rsidRDefault="00472A60" w:rsidP="00472A60">
      <w:pPr>
        <w:tabs>
          <w:tab w:val="left" w:pos="1915"/>
        </w:tabs>
        <w:spacing w:after="0" w:line="240" w:lineRule="auto"/>
        <w:ind w:right="-284" w:firstLine="709"/>
        <w:jc w:val="both"/>
        <w:rPr>
          <w:rFonts w:ascii="Times New Roman" w:hAnsi="Times New Roman" w:cs="Times New Roman"/>
          <w:sz w:val="24"/>
          <w:szCs w:val="24"/>
          <w:lang w:val="kk-KZ"/>
        </w:rPr>
      </w:pPr>
      <w:r w:rsidRPr="00C40532">
        <w:rPr>
          <w:rFonts w:ascii="Times New Roman" w:hAnsi="Times New Roman" w:cs="Times New Roman"/>
          <w:sz w:val="24"/>
          <w:szCs w:val="24"/>
          <w:lang w:val="en-US"/>
        </w:rPr>
        <w:t>Post-Keynesian economists are united in maintaining that Keynes's theory is seriously misrepresented by the two other principal Keynesian schools: neo-Keynesian economics which was orthodox in the 1950s and 60s – and by New Keynesian economics, which together with various strands of neoclassical economics has been dominant in mainstream macroeconomics since the 1980s. Post-Keynesian economics can be seen as an attempt to rebuild economic theory in the light of Keynes's ideas and insights. However even in the early years post-Keynesians such as Joan Robinson sought to distance themselves from Keynes himself and much current post-Keynesian thought cannot be found in Keynes. Some Post Keynesians took an even more progressive view than Keynes with greater emphases on worker friendly policies and re-distribution. Robinson, Paul Davidson and Hyman Minsky were notable for emphasising the effects on the economy of the practical differences between different types of investments in contrast to Keynes' more abstract treatment.</w:t>
      </w:r>
    </w:p>
    <w:p w:rsidR="00472A60" w:rsidRPr="00C40532" w:rsidRDefault="00472A60" w:rsidP="00472A60">
      <w:pPr>
        <w:tabs>
          <w:tab w:val="left" w:pos="1915"/>
        </w:tabs>
        <w:spacing w:after="0" w:line="240" w:lineRule="auto"/>
        <w:ind w:right="-284" w:firstLine="709"/>
        <w:jc w:val="both"/>
        <w:rPr>
          <w:rFonts w:ascii="Times New Roman" w:hAnsi="Times New Roman" w:cs="Times New Roman"/>
          <w:sz w:val="24"/>
          <w:szCs w:val="24"/>
          <w:lang w:val="kk-KZ"/>
        </w:rPr>
      </w:pPr>
      <w:r w:rsidRPr="00C40532">
        <w:rPr>
          <w:rFonts w:ascii="Times New Roman" w:hAnsi="Times New Roman" w:cs="Times New Roman"/>
          <w:sz w:val="24"/>
          <w:szCs w:val="24"/>
          <w:lang w:val="en-US"/>
        </w:rPr>
        <w:lastRenderedPageBreak/>
        <w:t>The theoretical foundation of post-Keynesian economics is the principle of effective demand, that demand matters in the long as well as the short run, so that a competitive market economy has no natural or automatic tendency towards full employment.</w:t>
      </w:r>
      <w:r w:rsidRPr="00C40532">
        <w:rPr>
          <w:rFonts w:ascii="Times New Roman" w:hAnsi="Times New Roman" w:cs="Times New Roman"/>
          <w:sz w:val="24"/>
          <w:szCs w:val="24"/>
          <w:lang w:val="kk-KZ"/>
        </w:rPr>
        <w:t xml:space="preserve"> </w:t>
      </w:r>
      <w:r w:rsidRPr="00C40532">
        <w:rPr>
          <w:rFonts w:ascii="Times New Roman" w:hAnsi="Times New Roman" w:cs="Times New Roman"/>
          <w:sz w:val="24"/>
          <w:szCs w:val="24"/>
          <w:lang w:val="en-US"/>
        </w:rPr>
        <w:t>Contrary to the views of New Keynesian economists working in the neo-classical tradition, post-Keynesians do not accept that the theoretical basis of the market failure to provide full employment is rigid or sticky prices or wages. Post-Keynesians typically reject the IS/LM model of John Hicks, which was very influential in neo-Keynesian economics.</w:t>
      </w:r>
    </w:p>
    <w:p w:rsidR="00472A60" w:rsidRPr="00C40532" w:rsidRDefault="00472A60" w:rsidP="00472A60">
      <w:pPr>
        <w:tabs>
          <w:tab w:val="left" w:pos="1915"/>
        </w:tabs>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contribution of post-Keynesian economics has extended beyond the theory of aggregate employment to theories of income distribution, growth, trade and development in which money demand plays a key role, whereas in neoclassical economics these are determined by the forces of technology, preferences and endowment. In the field of monetary theory, post-Keynesian economists were among the first to emphasise that the money supply responds to the demand for bank credit, so that the central bank cannot control the quantity of money, but only manage the interest rate by managing the quantity of monetary reserves.</w:t>
      </w:r>
    </w:p>
    <w:p w:rsidR="00472A60" w:rsidRPr="00C40532" w:rsidRDefault="00472A60" w:rsidP="00472A60">
      <w:pPr>
        <w:tabs>
          <w:tab w:val="left" w:pos="1915"/>
        </w:tabs>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This view has largely been incorporated into monetary policy, which now targets the interest rate as an instrument, rather than the quantity of money. In the field of finance, Hyman Minsky put forward a theory of financial crisis based on financial fragility, which has recently received renewed attention.</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Post Keynesian economics has many theories but one of the foundations is effective demand, and that it matters in both the long run and the short run. Effective demand is when the demand for a good but </w:t>
      </w:r>
      <w:proofErr w:type="gramStart"/>
      <w:r w:rsidRPr="00C40532">
        <w:rPr>
          <w:rFonts w:ascii="Times New Roman" w:hAnsi="Times New Roman" w:cs="Times New Roman"/>
          <w:sz w:val="24"/>
          <w:szCs w:val="24"/>
          <w:lang w:val="en-US"/>
        </w:rPr>
        <w:t>are</w:t>
      </w:r>
      <w:proofErr w:type="gramEnd"/>
      <w:r w:rsidRPr="00C40532">
        <w:rPr>
          <w:rFonts w:ascii="Times New Roman" w:hAnsi="Times New Roman" w:cs="Times New Roman"/>
          <w:sz w:val="24"/>
          <w:szCs w:val="24"/>
          <w:lang w:val="en-US"/>
        </w:rPr>
        <w:t xml:space="preserve"> constrained in a different market, but it also means that a competitive market economy has no natural or automatic tendency towards full employment.  This contradicts New Keynesian theory working in the Neo-Classical tradition.  Post Keynesians do not accept that market failure to provide full employment is caused by sticky wages or prices.  They also reject the IS/LM model.  Contributions of Post Keynesians include theories of income distribution, growth, trade and development where money demand is very important when it comes to aggregate employment, unlike neoclassical economics which believe in theories of technology, endowment and preferences.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Post Keynesians were one of the first to emphasize that the money supply reacts to bank credit demand.  This means that the central bank can only influence the quantity of money or the interest rate but not both.  This theory has been incorporated into monetary policy and Minsky put forward a theory of financial crisis based on financial fragility.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Rejection of Say’s Law</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Post Keynesians rejects Say’s law, which they claim is not a true law when we model an economy that has real-world characteristics.  They overthrow the classical dichotomy by stating, money matters in the long run and short run, money and liquidity preference are not neutral and they affect real decision making.  They reject the idea that the economic system moves through time from the past to an uncertain future.  Important decisions involving production, investment and consumption activities are taken in an uncertain environment.  They also reject forward contracts, in money terms, are a human institution developed to efficiently organize time-consuming production and exchange precesses.  The money wage contract is the most ubiquitous of these contracts and modern production economies are on a money wage contract-based system.  Most importantly, Post-Keynesians assert that unemployment, rather than full employment, is a common laissez-faire situation.</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Post Keynesian economists went back to the General Theory to try and truly interpret what Keynes was saying. One of the reasons they reject Say’s Law is because Keynes himself had an issue with the taxonomy of Say’s Law.  Keynes stated that people are using the same words to describe things with different meanings and created new definitions in order to explain why Say’s Law is not the true law relating the AD and AS functions.  He SG: Who? </w:t>
      </w:r>
      <w:proofErr w:type="gramStart"/>
      <w:r w:rsidRPr="00C40532">
        <w:rPr>
          <w:rFonts w:ascii="Times New Roman" w:hAnsi="Times New Roman" w:cs="Times New Roman"/>
          <w:sz w:val="24"/>
          <w:szCs w:val="24"/>
          <w:lang w:val="en-US"/>
        </w:rPr>
        <w:t>required</w:t>
      </w:r>
      <w:proofErr w:type="gramEnd"/>
      <w:r w:rsidRPr="00C40532">
        <w:rPr>
          <w:rFonts w:ascii="Times New Roman" w:hAnsi="Times New Roman" w:cs="Times New Roman"/>
          <w:sz w:val="24"/>
          <w:szCs w:val="24"/>
          <w:lang w:val="en-US"/>
        </w:rPr>
        <w:t xml:space="preserve"> Keynes needed to demonstrate that a change in relative prices by a substitution effect could not resurrect Say’s Law.  Keynes said time </w:t>
      </w:r>
      <w:r w:rsidRPr="00C40532">
        <w:rPr>
          <w:rFonts w:ascii="Times New Roman" w:hAnsi="Times New Roman" w:cs="Times New Roman"/>
          <w:sz w:val="24"/>
          <w:szCs w:val="24"/>
          <w:lang w:val="en-US"/>
        </w:rPr>
        <w:lastRenderedPageBreak/>
        <w:t>preference determines how much of current income is spend on currently produced consumption goods and how much is not spent on consumption goods but is instead saved by purchasing liquid assets.  Liquidity preference is where the income earner determines in what type of liquid assets are saved income to be stored in order to be used to transfer purchasing power of saving to a future time period.  Since all liquid assets have certain essential properties, the demand for liquid assets does not exactly create a demand for the products.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Hyman Minsky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interpretation of Keynes was assimilated into traditional economics without emphasis upon finance and debt was lost.  Today, an abstract non-financial economy is analyzed and theorems about this economy are applied to complex economies with financial and monetary institutions.  Policy advice based upon the neoclassical synthesis rests upon this act of faith so this cannot be a basis for a serious approach to economic policy.  Keynes advanced an investment theory of why our economy is susceptible to fluctuations and a financial theory of investment that is especially relevant for our economy.  The panics, debt deflations and deep depressions that historically followed a speculative boom as well as the recovery from depressions are of lesser importance in the analysis of instability than the developments over a period characterized by sustained growth that lead to the emergence of fragile and unstable financial structures.”  (Minsky, Stabilizing an Unstable Economy)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Minsky developed his financial instability hypothesis which states that in a capitalist economy, market mechanisms cannot lead to a sustained, stable-price, full-employment equilibrium. Financial behavior essential to capitalism will lead to serious business cycles.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This contrasts to neoclassical economics. Neoclassical economics states that unless disturbed by an exogenous event, a decentralized market economy will lead to full employment equilibrium. Because Minsky’s theory is derived from the behavior and incentives of a capitalist economy, it’s important to know the characteristics of such an economy. The means of production are privately owned and the income of the owners of capital assets is the difference between the revenue and labor costs associated with that capital. In addition, capital assets can be both traded and used as collateral and the financial instruments that enable pledging capital assets can also be traded. And because they can be traded, they have a market price. So what happens is that, the future income derived from capital assets is transformed into current prices.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prices of capital and financial assets depend upon the future cash flows that they are expected to generate and the capitalization rate. Since investment creates the profits of production and distribution of output, today’s investment determines the cash flows available to fulfill financial obligations of the past. So if a capitalist economy is to function normally, capital income and implicitly investment needs to sustain a level of capital asset income that validates past debts. If this doesn’t happen, the prices of capital assets and debts fall, and such a decline adversely affects investment demand.</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Minsky’s view, investment is the essential determinant of the path of a capitalist economy. So it’s important to know how investment works. The demand for capital assets is determined by their expected profit. This demand can be augmented by debt financing of capital and financial assets. The extent of debt-financing and the financial instruments used in creating such demand reflects the willingness of businessmen and bankers to speculate on future cash flows.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main idea Minsky promotes is that when full employment is achieved, businessmen and bankers tend to accept larger levels of debt-financing because there are confident that they’ll succeed. During periods of tranquil expansion (it’s important to note that Minsky doesn’t believe in equilibrium, but in periods of tranquility, a term borrowed from Joan Robinson), profit-seeking financial institutions invent new forms of money or substitutes for money in portfolios. Financial innovation is a characteristic of an expansionary economy.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These financial innovations enable the financing of more demand for capital and financial assets or of more investment. Financial innovation thus tends to increase capital gains, investment and profits. This results in an economy expanding beyond the tranquil full-employment state. What Minsky concludes is that the temporary full employment state leads through financial innovation to an expansion of debt-financing and moves the economy beyond full employment.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During a tranquil expansion, the price of capital assets relative to the price of current output increases, consumption and investment increase. The subsequent increase in profits lowers the value of the liquidity of money. So, in the eyes of businessmen and bankers the value of insurance or liquidity that money offers decreases. The value of liquidity will continue to decrease as the period of expansionary tranquility extends. The debt to equity ratios increases even as the value of the equity increases.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View on Elasticity and Money Contracts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essential properties of interest and money are what differentiate Post-Keynesian economics from old classical, new classical, old and new Keynesian theory, so basically all mainstream macroeconomic theory.  The essential properties are that the elasticity of productivity of all liquid assets including money was zero or negligible and the elasticity of substitution between liquid assets (including money) are reproducible goods was zero or negligible.</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zero elasticity of productivity of money means that when the demand for money increases, entrepreneurs cannot hire labor to produce more money to meet this change in demand for non-reproducible goods.  Zero elasticity of substitution means that the portion of income that is not spent on consumption will find ‘resting places’ in the demand for non-producible goods, a good man can not make.</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roofErr w:type="gramStart"/>
      <w:r w:rsidRPr="00C40532">
        <w:rPr>
          <w:rFonts w:ascii="Times New Roman" w:hAnsi="Times New Roman" w:cs="Times New Roman"/>
          <w:sz w:val="24"/>
          <w:szCs w:val="24"/>
          <w:lang w:val="en-US"/>
        </w:rPr>
        <w:t>Hahn- “Say’s law is violated and involuntary unemployment occurs whenever there are ‘resting places for savings in other than reproducible assets.’</w:t>
      </w:r>
      <w:proofErr w:type="gramEnd"/>
      <w:r w:rsidRPr="00C40532">
        <w:rPr>
          <w:rFonts w:ascii="Times New Roman" w:hAnsi="Times New Roman" w:cs="Times New Roman"/>
          <w:sz w:val="24"/>
          <w:szCs w:val="24"/>
          <w:lang w:val="en-US"/>
        </w:rPr>
        <w:t xml:space="preserve"> The existence of non-reproducible goods (all liquid assets) that would be demanded for stores of new savings means that all income earned by engaging in the production of goods is not, in the short or long run, necessarily spend on products producible by labor.  An increased demand for ‘savings’, even if it raises the relative price of non-producibles, will not spill over into a demand for producible goods. So deny gross substitution axiom.”</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economy today utilizes money contracts to seal production and exchange agreements and binding nominal contractual commitments are a sensible method for dealing with true uncertainty regarding future outcomes whenever economic activities span a long durations.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Risk and Uncertainty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Risk can be quantified; uncertainty cannot be quantified. Risk </w:t>
      </w:r>
      <w:proofErr w:type="gramStart"/>
      <w:r w:rsidRPr="00C40532">
        <w:rPr>
          <w:rFonts w:ascii="Times New Roman" w:hAnsi="Times New Roman" w:cs="Times New Roman"/>
          <w:sz w:val="24"/>
          <w:szCs w:val="24"/>
          <w:lang w:val="en-US"/>
        </w:rPr>
        <w:t>is not knowing</w:t>
      </w:r>
      <w:proofErr w:type="gramEnd"/>
      <w:r w:rsidRPr="00C40532">
        <w:rPr>
          <w:rFonts w:ascii="Times New Roman" w:hAnsi="Times New Roman" w:cs="Times New Roman"/>
          <w:sz w:val="24"/>
          <w:szCs w:val="24"/>
          <w:lang w:val="en-US"/>
        </w:rPr>
        <w:t xml:space="preserve"> what is going to happen next; it’s a calculation of the distribution of observable/observed past events, and based on that distribution it assumes the likelihood of an event contained happening in the future. Uncertainty is not knowing what will happen and not knowing the possible distribution.  A statistical and quantifiable approach can clarify between the two.  The future is unknown but sometimes there are options available that can be chosen.  A dice is a perfect example of risk, the outcome is unknown but the options are clear, 1 through 6 with each digit having a 1 in 6 chance of facing up.</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p>
    <w:p w:rsidR="00472A60" w:rsidRPr="00C40532" w:rsidRDefault="00472A60" w:rsidP="00472A60">
      <w:pPr>
        <w:spacing w:after="0" w:line="240" w:lineRule="auto"/>
        <w:ind w:right="-284" w:firstLine="709"/>
        <w:jc w:val="both"/>
        <w:rPr>
          <w:rFonts w:ascii="Times New Roman" w:hAnsi="Times New Roman" w:cs="Times New Roman"/>
          <w:i/>
          <w:sz w:val="24"/>
          <w:szCs w:val="24"/>
          <w:lang w:val="en-US"/>
        </w:rPr>
      </w:pPr>
      <w:r w:rsidRPr="00C40532">
        <w:rPr>
          <w:rFonts w:ascii="Times New Roman" w:hAnsi="Times New Roman" w:cs="Times New Roman"/>
          <w:i/>
          <w:sz w:val="24"/>
          <w:szCs w:val="24"/>
          <w:lang w:val="en-US"/>
        </w:rPr>
        <w:t>Minsky’s Financial Theory</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Minsky provides an alternative analysis of Keynes’s theory. The two key building blocks of his financial theory of investment and investment theory of the cycle are the two price systems and the difference between lender’s risk and borrower’s risk.</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Minsky distinguishes between a price system for current output and one for asset princes.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price system for current output is determined by the cost plus mark-up, set at a level that will generate profits. This price system covers consumer goods and services, investment goods and </w:t>
      </w:r>
      <w:r w:rsidRPr="00C40532">
        <w:rPr>
          <w:rFonts w:ascii="Times New Roman" w:hAnsi="Times New Roman" w:cs="Times New Roman"/>
          <w:sz w:val="24"/>
          <w:szCs w:val="24"/>
          <w:lang w:val="en-US"/>
        </w:rPr>
        <w:lastRenderedPageBreak/>
        <w:t>goods and services purchased by government. When purchases of capital are financed from internal funds, the current output price of investment goods is effectively a supply price of capital – the price sufficient to induce a supplier to provide new capital assets. If the firm must borrow external funds, then the supply price of capital also includes finance cost (i.e. the interest rate payments and other finance fees). The supply price will increase, as it also has to cover lender’s risk.</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second price system covers assets that are expected to generate a stream of income and possibly capital gains. The income stream derived from such assets cannot be known with certainty, and their value depends on subjective expectations. How much would one pay for the expected revenue that it can generate? But their value is again augmented by borrower’s risk since the price one is willing to pay depends on the amount of external finance required.</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Investment can only proceed if the demand price exceeds the supply price of capital assets. Because these prices include margins of safety (lenders and borrower’s risk), they are affected by expectations concerning unknowable outcomes. In a recovery from a severe downturn, margins are large as expectations are muted.</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Over time, if an expansion exceeds pessimistic projections these margins prove to be larger than necessary. Thus, margins will be reduced to the degree that projects are generally successful. Over the course of an expansion, the financial stances (hedge, speculative, ponzi) evolve from largely hedge to include ever rising proportions of speculative and even Ponzi positions.  The hedge stage occurs after a financial crisis when banks and borrowers are cautious and borrowers are able to play both the interest and the principal. The speculative stage of financial stances occurs when confidence rises and borrowers are </w:t>
      </w:r>
      <w:proofErr w:type="gramStart"/>
      <w:r w:rsidRPr="00C40532">
        <w:rPr>
          <w:rFonts w:ascii="Times New Roman" w:hAnsi="Times New Roman" w:cs="Times New Roman"/>
          <w:sz w:val="24"/>
          <w:szCs w:val="24"/>
          <w:lang w:val="en-US"/>
        </w:rPr>
        <w:t>be</w:t>
      </w:r>
      <w:proofErr w:type="gramEnd"/>
      <w:r w:rsidRPr="00C40532">
        <w:rPr>
          <w:rFonts w:ascii="Times New Roman" w:hAnsi="Times New Roman" w:cs="Times New Roman"/>
          <w:sz w:val="24"/>
          <w:szCs w:val="24"/>
          <w:lang w:val="en-US"/>
        </w:rPr>
        <w:t xml:space="preserve"> awarded loans for which they only afford to pay the interest. In the last stage, Ponzi finance implies that banks offer loans that cannot be repaid at all. Neither the principal nor the interest is repaid.</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Aggregate demand includes expenditures on goods and services, including financial assets and services. While neoclassical economics attempts to analyze the economy, while ignoring the financial system, post-Keynesians believe that the economy is intimately linked to finance. Thus, post-Keynesians identify three main sources of aggregate demand. One is the demand derived from income earned by selling goods and services, which primarily drive consumption of goods and services. The second is demand originating from entrepreneurial debt which forms the bulk of investment. Lastly, the third major source of aggregate demand is the one rising from Ponzi debt, which funds the acquisition of current assets.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New Keynesians and Monetarists consider that banks can raise demand by lending the savings of those with a low propensity to spend to those with a higher propensity to spend. They don’t really create higher purchasing power, but simply redistribute the power to those willing to use it.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Endogenous Theory of Money states that banks can create money “out of thin air”. They do not lend out savings and their lending ability is not limited by deposits or reserves. All economic agents (households, firms, financial institutions, governments) can be labeled as banks since they all take positions in assets by issuing liabilities, with margins of safety maintained for protection.</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1. One margin of safety is the excess of income expected to be generated by the ownership of assets over the payment commitments entailed in the liabilities.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2. Another is net worth. </w:t>
      </w:r>
      <w:proofErr w:type="gramStart"/>
      <w:r w:rsidRPr="00C40532">
        <w:rPr>
          <w:rFonts w:ascii="Times New Roman" w:hAnsi="Times New Roman" w:cs="Times New Roman"/>
          <w:sz w:val="24"/>
          <w:szCs w:val="24"/>
          <w:lang w:val="en-US"/>
        </w:rPr>
        <w:t>For a given expected income stream, the greater value of assets relative to liabilities, the greater the margin of safety.</w:t>
      </w:r>
      <w:proofErr w:type="gramEnd"/>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3. Another margin of safety is the liquidity of the position: if assets can be sold quickly or pledged as collateral in a loan, the margin of safety is bigger.</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If a disruption occurs, economic agents that rely on a continual stream of refinancing will try to sell assets to meet cash commitments.  What will occur is what Irving Fisher calls a debt deflation: a generalized sell-off is going to drive asset prices toward zero, since financial assets and liabilities net to zero.</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Specialized financial institutions can protect markets from debt deflation by standing ready to purchase or lend against assets, preventing prices from falling. However they might be overwhelmed by the contagion and refuse to provide finance.  Central banks have to intervene as a lender of last resort by temporarily providing finance and stopping debt deflation with their ability to purchase or lend assets without limit.</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Financial institutions are special because they are very highly leveraged: for every dollar they might issue 95 cents of liability. Their positions in assets are really financed positions. Traditional commercial banks make short term loans that are collateralized by goods in production and distribution. The loans are made good as soon as the goods are sold. The bank’s position is financed by issuing short-term liabilities such as demand and savings deposits. Essentially, a firm borrows to pay wages and raw materials (the costs of production), with the bank advancing demand deposits received by workers and suppliers. When the finished goods are sold, firms are able to repay the loans. Banks charge higher interest on loans than they pay on deposits – with the net interest margin supplying bank profits.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From this process we observe that banks do not sit and wait for deposits in order to lend. Rather the process is precisely the reverse: banks accept the IOU from the firm that needs to pay for wages and raw materials, and then create a deposit that the firm uses for its purchases. The Endogenous Money Theory states that loans create deposits, in the sense that bank buys the IOU from the firm by issuing its own deposit IOUs.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If deposits are to maintain parity, losses on assets must be very small because the commercial bank’s equity (what it makes from the difference in interest rates) must absorb all asset value reduction. Thus, it is the duty of the banker to be skeptical. Bankers hold the key to the business cycle, because not only do entrepreneurs have to be sufficiently optimistic to invest, they must also find a banker willing to advance the wage bill to produce investment output. By financing the wage bill of workers in the investment goods sector, commercial banks are promoting the capital development of the economy even if they do not actually provide finance for position taking in investment foods.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Once the firm finishes production and sells the output, it receives deposits and uses these to retire the short-term loan. Repaying the loan clears the banks’ balance sheet because the payment on the firm’s IOU brings back to the bank its own IOUs.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Post-Keynesians consider that in a modern, developed, capitalist economy money should be viewed as credit money, an IOU of the issuer and an asset of the holder. Even the state’s own money i.e. the dollar, the RON (The Romanian Leu) etc. is an IOU, which is redeemed in tax payments or other payments owed to the state. Thus, the state’s money is not simply “fiat” currency e.g. “let it be” currency. Rather, its use is driven by the state’s ability to impose tax liabilities on the population, which are subsequently validated when tax payments are made in the state’s IOU. Using the context provided by this definition of money, post-Keynesians consider private money as “pyramiding” or leveraging the state’s money, which is further used for the ultimate net clearing of private balance accounts, as well as for making payments to the state.</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There is no fixed leverage ratio between the quantity of private IOUs issued and the stock of state money existing. (</w:t>
      </w:r>
      <w:proofErr w:type="gramStart"/>
      <w:r w:rsidRPr="00C40532">
        <w:rPr>
          <w:rFonts w:ascii="Times New Roman" w:hAnsi="Times New Roman" w:cs="Times New Roman"/>
          <w:sz w:val="24"/>
          <w:szCs w:val="24"/>
          <w:lang w:val="en-US"/>
        </w:rPr>
        <w:t>hence</w:t>
      </w:r>
      <w:proofErr w:type="gramEnd"/>
      <w:r w:rsidRPr="00C40532">
        <w:rPr>
          <w:rFonts w:ascii="Times New Roman" w:hAnsi="Times New Roman" w:cs="Times New Roman"/>
          <w:sz w:val="24"/>
          <w:szCs w:val="24"/>
          <w:lang w:val="en-US"/>
        </w:rPr>
        <w:t>, the lack of meaning for the concept of money multiplier in post-Keynesian economics). Most creation of state money occurs when the state spends, and most destruction occurs when the state recovers the population’s tax liabilities. The central bank also creates and destroys state money as it increases or decreases banking system reserves through the repo rate at the discount window (an instrument used by central banks to allow financial institutions to meet temporary shortages of liquidity) and through open market operations such as the current Large Scale Asset Purchases.</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this context, the supply of money is not exogenously determined and money multiplier effect devoid of meaning. What constrains banks from lending is the point beyond which it would be unprofitable to expand its balance further. The central bank may not be trying to target a particular </w:t>
      </w:r>
      <w:r w:rsidRPr="00C40532">
        <w:rPr>
          <w:rFonts w:ascii="Times New Roman" w:hAnsi="Times New Roman" w:cs="Times New Roman"/>
          <w:sz w:val="24"/>
          <w:szCs w:val="24"/>
          <w:lang w:val="en-US"/>
        </w:rPr>
        <w:lastRenderedPageBreak/>
        <w:t>quantity of currency or of the monetary base, but it can target a price level by varying its lending rate or by taking steps to vary the interbank overnight rate on bank reserves i.e. the federal funds rate, the discount rate. The central bank hasn’t the ability to quantitatively constrain the private sector’s creation of money through quantitative measures of controlling the money supply. Rather, the central bank has the ability to set the overnight interest rate, which has an indirect impact on the quantity of reserves and the quality of privately created money. Post-Keynesians view the supply of reserves as horizontal at the central bank’s target rate. The financial sector has ability to perpetually seek innovation that can reduce the quantity of reserves they need to hold or innovation that increases the return on equity within regulatory constraints. This gives raise to the structuralist post-Keynesian concern regarding the financial sector and the economy, in general. Minsky `was greatly focused on the institutional environment in order to solve the unstable nature of capitalism.</w:t>
      </w:r>
    </w:p>
    <w:p w:rsidR="00472A60" w:rsidRPr="00C40532" w:rsidRDefault="00472A60" w:rsidP="00472A60">
      <w:pPr>
        <w:spacing w:after="0" w:line="240" w:lineRule="auto"/>
        <w:ind w:right="-284"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While the central bank is viewed as a lender of last resort, the post-Keynesian establishment views government as an employer of last resort. Instead of reducing poverty through welfare programs and creating a welfare-dependent, marginalized class, the government should offer one full-employment job per low income household. The result of such a policy would be fewer families below the poverty line and an increase in consumption and GDP by a multiple of the extra wages. In Minsky’s view, this is the only situation in which a minimum wage is effective, since if the government is not employer of last resort, the minimum wage is actually zero for all those unemployed. Just as the central bank’s lender of last resort responsibilities create a floor for asset prices by stopping the process of debt-deflation, the government sets a wage floor and subsequently a floor to aggregate demand and consumption.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3. Economic integration processes in Kazakhstan</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Eurasian economic integration milestones: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In 1995 Russia, Belarus and Kazakhstan signed an Agreement on the establishment of the Customs Union (CU);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In 1999 three countries concluded an Agreement on the Customs Union and Single economic space (SES);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In 2000 Russia, Belarus and Kazakhstan established the Eurasian Economic Community (EurAsEC), an international organization that was responsible for efficient promotion of the CU and the SES;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In 2007 the Commission of the Customs Union became the first joint permanent governing body of the CU;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Eurasian economic integration process gained impetus during 2010. In January 2010 Russia, Belarus and Kazakhstan launched the CU within EurAsEC by coordinating tariff and non-tariff regulation;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In July 2010 three countries eliminated customs clearance procedures and all customs restrictions on the goods exchanged between them as well as commenced to pursue a uniform tariff policy toward non-member nations;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In July 2011 the CU of Russia, Belarus and Kazakhstan became fully operational with the customs control having been transferred to the external borders of the CU and the Customs Code of the CU entering into force;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17 treaties establishing SES came into force on the 1st of January 2012;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The Eurasian Economic Commission, a supranational body that is in charge of all integration processes, started functioning as of February, 1, 2012.</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lastRenderedPageBreak/>
        <w:t>Key stages of Eurasian economic integration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CIS Free Trade Area: customs duties and economic restrictions are not applicable in mutual trade between CIS countries (except for trade remedies) with specific exemptions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Customs Union: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common</w:t>
      </w:r>
      <w:proofErr w:type="gramEnd"/>
      <w:r w:rsidRPr="00C40532">
        <w:rPr>
          <w:rFonts w:ascii="Times New Roman" w:hAnsi="Times New Roman" w:cs="Times New Roman"/>
          <w:sz w:val="24"/>
          <w:szCs w:val="24"/>
          <w:lang w:val="en-US"/>
        </w:rPr>
        <w:t xml:space="preserve"> customs territory of Russia, Belarus and Kazakhstan with population of approximately 170 million people (which accounts to 2.5% of world population), total GDP of 2,7 trn. </w:t>
      </w:r>
      <w:proofErr w:type="gramStart"/>
      <w:r w:rsidRPr="00C40532">
        <w:rPr>
          <w:rFonts w:ascii="Times New Roman" w:hAnsi="Times New Roman" w:cs="Times New Roman"/>
          <w:sz w:val="24"/>
          <w:szCs w:val="24"/>
          <w:lang w:val="en-US"/>
        </w:rPr>
        <w:t>US$ (4 % of world GDP) and with free movement of goods both produced in the CU and imported from 3rd countries.</w:t>
      </w:r>
      <w:proofErr w:type="gramEnd"/>
      <w:r w:rsidRPr="00C40532">
        <w:rPr>
          <w:rFonts w:ascii="Times New Roman" w:hAnsi="Times New Roman" w:cs="Times New Roman"/>
          <w:sz w:val="24"/>
          <w:szCs w:val="24"/>
          <w:lang w:val="en-US"/>
        </w:rPr>
        <w:t xml:space="preserve"> Total volume of external trade equals 913 bln. </w:t>
      </w:r>
      <w:proofErr w:type="gramStart"/>
      <w:r w:rsidRPr="00C40532">
        <w:rPr>
          <w:rFonts w:ascii="Times New Roman" w:hAnsi="Times New Roman" w:cs="Times New Roman"/>
          <w:sz w:val="24"/>
          <w:szCs w:val="24"/>
          <w:lang w:val="en-US"/>
        </w:rPr>
        <w:t>US$.</w:t>
      </w:r>
      <w:proofErr w:type="gramEnd"/>
      <w:r w:rsidRPr="00C40532">
        <w:rPr>
          <w:rFonts w:ascii="Times New Roman" w:hAnsi="Times New Roman" w:cs="Times New Roman"/>
          <w:sz w:val="24"/>
          <w:szCs w:val="24"/>
          <w:lang w:val="en-US"/>
        </w:rPr>
        <w:t xml:space="preserv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uniform</w:t>
      </w:r>
      <w:proofErr w:type="gramEnd"/>
      <w:r w:rsidRPr="00C40532">
        <w:rPr>
          <w:rFonts w:ascii="Times New Roman" w:hAnsi="Times New Roman" w:cs="Times New Roman"/>
          <w:sz w:val="24"/>
          <w:szCs w:val="24"/>
          <w:lang w:val="en-US"/>
        </w:rPr>
        <w:t xml:space="preserve"> customs tariff (January, 2010);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unified customs regulation and customs procedures (July 2010);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a</w:t>
      </w:r>
      <w:proofErr w:type="gramEnd"/>
      <w:r w:rsidRPr="00C40532">
        <w:rPr>
          <w:rFonts w:ascii="Times New Roman" w:hAnsi="Times New Roman" w:cs="Times New Roman"/>
          <w:sz w:val="24"/>
          <w:szCs w:val="24"/>
          <w:lang w:val="en-US"/>
        </w:rPr>
        <w:t xml:space="preserve"> unified regime for trade with third countries.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Single Economic Space: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common</w:t>
      </w:r>
      <w:proofErr w:type="gramEnd"/>
      <w:r w:rsidRPr="00C40532">
        <w:rPr>
          <w:rFonts w:ascii="Times New Roman" w:hAnsi="Times New Roman" w:cs="Times New Roman"/>
          <w:sz w:val="24"/>
          <w:szCs w:val="24"/>
          <w:lang w:val="en-US"/>
        </w:rPr>
        <w:t xml:space="preserve"> economic regulation procedures;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common</w:t>
      </w:r>
      <w:proofErr w:type="gramEnd"/>
      <w:r w:rsidRPr="00C40532">
        <w:rPr>
          <w:rFonts w:ascii="Times New Roman" w:hAnsi="Times New Roman" w:cs="Times New Roman"/>
          <w:sz w:val="24"/>
          <w:szCs w:val="24"/>
          <w:lang w:val="en-US"/>
        </w:rPr>
        <w:t xml:space="preserve"> infrastructure;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coordinated</w:t>
      </w:r>
      <w:proofErr w:type="gramEnd"/>
      <w:r w:rsidRPr="00C40532">
        <w:rPr>
          <w:rFonts w:ascii="Times New Roman" w:hAnsi="Times New Roman" w:cs="Times New Roman"/>
          <w:sz w:val="24"/>
          <w:szCs w:val="24"/>
          <w:lang w:val="en-US"/>
        </w:rPr>
        <w:t xml:space="preserve"> tax, monetary and customs policies;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free</w:t>
      </w:r>
      <w:proofErr w:type="gramEnd"/>
      <w:r w:rsidRPr="00C40532">
        <w:rPr>
          <w:rFonts w:ascii="Times New Roman" w:hAnsi="Times New Roman" w:cs="Times New Roman"/>
          <w:sz w:val="24"/>
          <w:szCs w:val="24"/>
          <w:lang w:val="en-US"/>
        </w:rPr>
        <w:t xml:space="preserve"> movement of goods, capital, services and labour force.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Eurasian Economic Union: the Declaration on Eurasian Economic Integration signed in November 2011 defines the goals of our integration. This document may be considered as a sort of ‘roadmap’ with an ultimate objective of establishing the Eurasian Economic Union.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Eurasian Economic Commission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The Eurasian Economic Commission (the EEC), a single permanent regulatory body of the CU and SES, started its activity as of February, 1, 2012 on the basis of the Treaty on the Eurasian Economic Commission signed by Russia, Belarus and Kazakhstan in November 2011.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The EEC has replaced the Customs Union Commission. In accordance with international agreements it acquires supranational functions.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The EEC shall gradually take over powers from each of the countries. In accordance with the Treaty establishing the EEC (article 3) the Commission operates in the spheres of tariff and non-tariff measures, technical regulation, sanitary and phytosanitary measures, statistics of external and mutual trade, competition policy, industrial and agricultural subsidies, energy sector, government procurement, transportation, monetary policy, intellectual property rights, labour migration, services and investment, financial markets.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The main objective of the EEC is to “ensure conditions for the CU and SES operation and development as well as to elaborate economic integration initiatives within the framework of the CU and SES.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Bodies of the CU and SES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The Supreme Eurasian Economic Council comprises the heads of state or government of the Customs Union member states. It defines the strategy and the objectives of further development of the CU and the CES.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The EEC is a two-level body with the Commission Council uniting deputy prime-ministers and the Board of the Commission, a working body to which member-states delegate their representatives in the capacity of international independent officials. The EEC ensures functioning and development of the CU and SES, elaborates economic integration initiatives. The EEC Departments and consulting bodies assist in interacting with national authorities.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The EurAsEC Court is a dispute settlement body.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Areas of Competence of the Eurasian Economic Commission under the Treaty on the EEC:</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 xml:space="preserve">• </w:t>
      </w:r>
      <w:proofErr w:type="gramStart"/>
      <w:r w:rsidRPr="00C40532">
        <w:rPr>
          <w:rFonts w:ascii="Times New Roman" w:hAnsi="Times New Roman" w:cs="Times New Roman"/>
          <w:sz w:val="24"/>
          <w:szCs w:val="24"/>
          <w:lang w:val="en-US"/>
        </w:rPr>
        <w:t>tariff</w:t>
      </w:r>
      <w:proofErr w:type="gramEnd"/>
      <w:r w:rsidRPr="00C40532">
        <w:rPr>
          <w:rFonts w:ascii="Times New Roman" w:hAnsi="Times New Roman" w:cs="Times New Roman"/>
          <w:sz w:val="24"/>
          <w:szCs w:val="24"/>
          <w:lang w:val="en-US"/>
        </w:rPr>
        <w:t xml:space="preserve"> and non-tariff regulation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customs</w:t>
      </w:r>
      <w:proofErr w:type="gramEnd"/>
      <w:r w:rsidRPr="00C40532">
        <w:rPr>
          <w:rFonts w:ascii="Times New Roman" w:hAnsi="Times New Roman" w:cs="Times New Roman"/>
          <w:sz w:val="24"/>
          <w:szCs w:val="24"/>
          <w:lang w:val="en-US"/>
        </w:rPr>
        <w:t xml:space="preserve"> administration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technical</w:t>
      </w:r>
      <w:proofErr w:type="gramEnd"/>
      <w:r w:rsidRPr="00C40532">
        <w:rPr>
          <w:rFonts w:ascii="Times New Roman" w:hAnsi="Times New Roman" w:cs="Times New Roman"/>
          <w:sz w:val="24"/>
          <w:szCs w:val="24"/>
          <w:lang w:val="en-US"/>
        </w:rPr>
        <w:t xml:space="preserve"> regulation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sanitary</w:t>
      </w:r>
      <w:proofErr w:type="gramEnd"/>
      <w:r w:rsidRPr="00C40532">
        <w:rPr>
          <w:rFonts w:ascii="Times New Roman" w:hAnsi="Times New Roman" w:cs="Times New Roman"/>
          <w:sz w:val="24"/>
          <w:szCs w:val="24"/>
          <w:lang w:val="en-US"/>
        </w:rPr>
        <w:t xml:space="preserve">, veterinary and phytosanitary measures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enrolment</w:t>
      </w:r>
      <w:proofErr w:type="gramEnd"/>
      <w:r w:rsidRPr="00C40532">
        <w:rPr>
          <w:rFonts w:ascii="Times New Roman" w:hAnsi="Times New Roman" w:cs="Times New Roman"/>
          <w:sz w:val="24"/>
          <w:szCs w:val="24"/>
          <w:lang w:val="en-US"/>
        </w:rPr>
        <w:t xml:space="preserve"> and allocation of import customs duties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establishment</w:t>
      </w:r>
      <w:proofErr w:type="gramEnd"/>
      <w:r w:rsidRPr="00C40532">
        <w:rPr>
          <w:rFonts w:ascii="Times New Roman" w:hAnsi="Times New Roman" w:cs="Times New Roman"/>
          <w:sz w:val="24"/>
          <w:szCs w:val="24"/>
          <w:lang w:val="en-US"/>
        </w:rPr>
        <w:t xml:space="preserve"> of trade regimes with third countries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statistics</w:t>
      </w:r>
      <w:proofErr w:type="gramEnd"/>
      <w:r w:rsidRPr="00C40532">
        <w:rPr>
          <w:rFonts w:ascii="Times New Roman" w:hAnsi="Times New Roman" w:cs="Times New Roman"/>
          <w:sz w:val="24"/>
          <w:szCs w:val="24"/>
          <w:lang w:val="en-US"/>
        </w:rPr>
        <w:t xml:space="preserve"> of external and internal trade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macroeconomic</w:t>
      </w:r>
      <w:proofErr w:type="gramEnd"/>
      <w:r w:rsidRPr="00C40532">
        <w:rPr>
          <w:rFonts w:ascii="Times New Roman" w:hAnsi="Times New Roman" w:cs="Times New Roman"/>
          <w:sz w:val="24"/>
          <w:szCs w:val="24"/>
          <w:lang w:val="en-US"/>
        </w:rPr>
        <w:t xml:space="preserve"> policy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competition</w:t>
      </w:r>
      <w:proofErr w:type="gramEnd"/>
      <w:r w:rsidRPr="00C40532">
        <w:rPr>
          <w:rFonts w:ascii="Times New Roman" w:hAnsi="Times New Roman" w:cs="Times New Roman"/>
          <w:sz w:val="24"/>
          <w:szCs w:val="24"/>
          <w:lang w:val="en-US"/>
        </w:rPr>
        <w:t xml:space="preserve"> policy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industrial</w:t>
      </w:r>
      <w:proofErr w:type="gramEnd"/>
      <w:r w:rsidRPr="00C40532">
        <w:rPr>
          <w:rFonts w:ascii="Times New Roman" w:hAnsi="Times New Roman" w:cs="Times New Roman"/>
          <w:sz w:val="24"/>
          <w:szCs w:val="24"/>
          <w:lang w:val="en-US"/>
        </w:rPr>
        <w:t xml:space="preserve"> and agriculture subsidies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energy</w:t>
      </w:r>
      <w:proofErr w:type="gramEnd"/>
      <w:r w:rsidRPr="00C40532">
        <w:rPr>
          <w:rFonts w:ascii="Times New Roman" w:hAnsi="Times New Roman" w:cs="Times New Roman"/>
          <w:sz w:val="24"/>
          <w:szCs w:val="24"/>
          <w:lang w:val="en-US"/>
        </w:rPr>
        <w:t xml:space="preserve"> policy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natural</w:t>
      </w:r>
      <w:proofErr w:type="gramEnd"/>
      <w:r w:rsidRPr="00C40532">
        <w:rPr>
          <w:rFonts w:ascii="Times New Roman" w:hAnsi="Times New Roman" w:cs="Times New Roman"/>
          <w:sz w:val="24"/>
          <w:szCs w:val="24"/>
          <w:lang w:val="en-US"/>
        </w:rPr>
        <w:t xml:space="preserve"> monopolies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state</w:t>
      </w:r>
      <w:proofErr w:type="gramEnd"/>
      <w:r w:rsidRPr="00C40532">
        <w:rPr>
          <w:rFonts w:ascii="Times New Roman" w:hAnsi="Times New Roman" w:cs="Times New Roman"/>
          <w:sz w:val="24"/>
          <w:szCs w:val="24"/>
          <w:lang w:val="en-US"/>
        </w:rPr>
        <w:t xml:space="preserve"> and municipal procurement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internal</w:t>
      </w:r>
      <w:proofErr w:type="gramEnd"/>
      <w:r w:rsidRPr="00C40532">
        <w:rPr>
          <w:rFonts w:ascii="Times New Roman" w:hAnsi="Times New Roman" w:cs="Times New Roman"/>
          <w:sz w:val="24"/>
          <w:szCs w:val="24"/>
          <w:lang w:val="en-US"/>
        </w:rPr>
        <w:t xml:space="preserve"> trade in services and investment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transport</w:t>
      </w:r>
      <w:proofErr w:type="gramEnd"/>
      <w:r w:rsidRPr="00C40532">
        <w:rPr>
          <w:rFonts w:ascii="Times New Roman" w:hAnsi="Times New Roman" w:cs="Times New Roman"/>
          <w:sz w:val="24"/>
          <w:szCs w:val="24"/>
          <w:lang w:val="en-US"/>
        </w:rPr>
        <w:t xml:space="preserve"> and transportation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currency</w:t>
      </w:r>
      <w:proofErr w:type="gramEnd"/>
      <w:r w:rsidRPr="00C40532">
        <w:rPr>
          <w:rFonts w:ascii="Times New Roman" w:hAnsi="Times New Roman" w:cs="Times New Roman"/>
          <w:sz w:val="24"/>
          <w:szCs w:val="24"/>
          <w:lang w:val="en-US"/>
        </w:rPr>
        <w:t xml:space="preserve"> policy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intellectual</w:t>
      </w:r>
      <w:proofErr w:type="gramEnd"/>
      <w:r w:rsidRPr="00C40532">
        <w:rPr>
          <w:rFonts w:ascii="Times New Roman" w:hAnsi="Times New Roman" w:cs="Times New Roman"/>
          <w:sz w:val="24"/>
          <w:szCs w:val="24"/>
          <w:lang w:val="en-US"/>
        </w:rPr>
        <w:t xml:space="preserve"> property and copyright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migration</w:t>
      </w:r>
      <w:proofErr w:type="gramEnd"/>
      <w:r w:rsidRPr="00C40532">
        <w:rPr>
          <w:rFonts w:ascii="Times New Roman" w:hAnsi="Times New Roman" w:cs="Times New Roman"/>
          <w:sz w:val="24"/>
          <w:szCs w:val="24"/>
          <w:lang w:val="en-US"/>
        </w:rPr>
        <w:t xml:space="preserve"> policy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financial</w:t>
      </w:r>
      <w:proofErr w:type="gramEnd"/>
      <w:r w:rsidRPr="00C40532">
        <w:rPr>
          <w:rFonts w:ascii="Times New Roman" w:hAnsi="Times New Roman" w:cs="Times New Roman"/>
          <w:sz w:val="24"/>
          <w:szCs w:val="24"/>
          <w:lang w:val="en-US"/>
        </w:rPr>
        <w:t xml:space="preserve"> markets (banking, insurance, foreign exchange market, stock market)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other</w:t>
      </w:r>
      <w:proofErr w:type="gramEnd"/>
      <w:r w:rsidRPr="00C40532">
        <w:rPr>
          <w:rFonts w:ascii="Times New Roman" w:hAnsi="Times New Roman" w:cs="Times New Roman"/>
          <w:sz w:val="24"/>
          <w:szCs w:val="24"/>
          <w:lang w:val="en-US"/>
        </w:rPr>
        <w:t xml:space="preserve"> areas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decisions in the EEC are taken unanimously.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EEC is currently dealing with the task of codification of the EurAsEC, CU and SES treaties and agreements with an aim of conclusion of a comprehensive treaty of the Eurasian Economic Union by 2015.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Customs Union and Single Economic Space are open to accession by new participants.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The advantages of the Customs Union: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1. CU enhances the regional market and promotes exports of three countries, making them one of the most attractive markets in the world. Establishment of the Customs Union allowed forming a new common market of 170 million inhabitants. For Kazakhstani producers market will grow by more than 10 times, which should provide a powerful impetus for the development of new modern facilities.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2. Acceleration of economic growth in member countries and openness of international integration. According to experts, the Customs Union will allow three countries to achieve by 2015, the total GDP of $ 400 billion. Each state party will increase its GDP by 15.</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3. Lack of customs borders between the countries allows entrepreneurs to cut costs and speed up the circulation of goods.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4. Attraction of investments in the economy of countries, as well as the establishment of joint Kazakh-Russian and Kazakh-Belarusian enterprises. So foreign investor, before investing will take into account not only the amount of domestic Kazakh market, but the total population of three countries.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5. One the most important advantages of the Customs Union - doubling of revenues from customs duties in the budget.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6. Unfortunately, about 95% of exports go to the primary sector, and 80% of foreign investment directed there. Therefore, the main effect, the country's leadership expect from participation in the Customs Union - to diversify the economy.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8. From joining the Customs Union the agricultural sector may win, as a huge market will be opened to a domestic producer of agricultural products.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9. A number of international instruments will be adopted in the framework of the Customs Union - technical, veterinary and sanitary regulations. Technical regulations of CU members will be united.</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The disadvantages of the Customs Union: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1. It would be difficult to Kazakhstan to defend its economic and political interests, considering the dominance of Russia.</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2. With the introduction of the Common Customs Tariff Kazakhstan raises its average tariff, which leads to higher prices for goods from the third countries, in particular from China, Turkey, Korea and many other countries, which is a great drawback for consumers.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3. Due to the rise in prices of goods in Kazakhstan inflation is expected of 0.5% -1%.</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4. Competition can be a heavy burden and a challenge for domestic business and it will be hard to sustain for many producers.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b/>
          <w:sz w:val="24"/>
          <w:szCs w:val="24"/>
          <w:lang w:val="en-US"/>
        </w:rPr>
      </w:pPr>
      <w:proofErr w:type="gramStart"/>
      <w:r w:rsidRPr="00C40532">
        <w:rPr>
          <w:rFonts w:ascii="Times New Roman" w:hAnsi="Times New Roman" w:cs="Times New Roman"/>
          <w:b/>
          <w:sz w:val="24"/>
          <w:szCs w:val="24"/>
          <w:lang w:val="en-US"/>
        </w:rPr>
        <w:t>Theme 4.</w:t>
      </w:r>
      <w:proofErr w:type="gramEnd"/>
      <w:r w:rsidRPr="00C40532">
        <w:rPr>
          <w:rFonts w:ascii="Times New Roman" w:hAnsi="Times New Roman" w:cs="Times New Roman"/>
          <w:b/>
          <w:sz w:val="24"/>
          <w:szCs w:val="24"/>
          <w:lang w:val="en-US"/>
        </w:rPr>
        <w:t xml:space="preserve"> </w:t>
      </w:r>
      <w:r w:rsidRPr="00C40532">
        <w:rPr>
          <w:rFonts w:ascii="Times New Roman" w:hAnsi="Times New Roman" w:cs="Times New Roman"/>
          <w:b/>
          <w:bCs/>
          <w:color w:val="000000"/>
          <w:sz w:val="24"/>
          <w:szCs w:val="24"/>
          <w:lang w:val="en-US"/>
        </w:rPr>
        <w:t>Organization of public finance in the US</w:t>
      </w:r>
      <w:r w:rsidRPr="00C40532">
        <w:rPr>
          <w:rFonts w:ascii="Times New Roman" w:hAnsi="Times New Roman" w:cs="Times New Roman"/>
          <w:b/>
          <w:sz w:val="24"/>
          <w:szCs w:val="24"/>
          <w:lang w:val="en-US"/>
        </w:rPr>
        <w:t xml:space="preserve"> </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p>
    <w:p w:rsidR="00472A60" w:rsidRPr="00C40532" w:rsidRDefault="00472A60" w:rsidP="00472A60">
      <w:pPr>
        <w:pStyle w:val="a4"/>
        <w:numPr>
          <w:ilvl w:val="0"/>
          <w:numId w:val="17"/>
        </w:numPr>
        <w:spacing w:after="0" w:line="240" w:lineRule="auto"/>
        <w:ind w:left="0"/>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The role of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as a</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high-tech</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economy of the developed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countries in the world</w:t>
      </w:r>
    </w:p>
    <w:p w:rsidR="00472A60" w:rsidRPr="00C40532" w:rsidRDefault="00472A60" w:rsidP="00472A60">
      <w:pPr>
        <w:pStyle w:val="a4"/>
        <w:numPr>
          <w:ilvl w:val="0"/>
          <w:numId w:val="17"/>
        </w:numPr>
        <w:spacing w:after="0" w:line="240" w:lineRule="auto"/>
        <w:ind w:left="0"/>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US 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 its structure</w:t>
      </w:r>
    </w:p>
    <w:p w:rsidR="00472A60" w:rsidRPr="00C40532" w:rsidRDefault="00472A60" w:rsidP="00472A60">
      <w:pPr>
        <w:pStyle w:val="a4"/>
        <w:numPr>
          <w:ilvl w:val="0"/>
          <w:numId w:val="17"/>
        </w:numPr>
        <w:spacing w:after="0" w:line="240" w:lineRule="auto"/>
        <w:ind w:left="0"/>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Basic</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principles of the US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budget process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structure</w:t>
      </w:r>
    </w:p>
    <w:p w:rsidR="00472A60" w:rsidRPr="00C40532" w:rsidRDefault="00472A60" w:rsidP="00472A60">
      <w:pPr>
        <w:pStyle w:val="a4"/>
        <w:numPr>
          <w:ilvl w:val="0"/>
          <w:numId w:val="17"/>
        </w:numPr>
        <w:spacing w:after="0" w:line="240" w:lineRule="auto"/>
        <w:ind w:left="0"/>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The federal budget</w:t>
      </w:r>
      <w:r w:rsidRPr="00C40532">
        <w:rPr>
          <w:rFonts w:ascii="Times New Roman" w:hAnsi="Times New Roman" w:cs="Times New Roman"/>
          <w:b/>
          <w:sz w:val="24"/>
          <w:szCs w:val="24"/>
          <w:lang w:val="en-US"/>
        </w:rPr>
        <w:t>.</w:t>
      </w:r>
    </w:p>
    <w:p w:rsidR="00472A60" w:rsidRPr="00C40532" w:rsidRDefault="00472A60" w:rsidP="00472A60">
      <w:pPr>
        <w:pStyle w:val="a4"/>
        <w:numPr>
          <w:ilvl w:val="0"/>
          <w:numId w:val="17"/>
        </w:numPr>
        <w:spacing w:after="0" w:line="240" w:lineRule="auto"/>
        <w:ind w:left="0"/>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Revenues and expenditures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local budgets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state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w:t>
      </w:r>
    </w:p>
    <w:p w:rsidR="00472A60" w:rsidRPr="00C40532" w:rsidRDefault="00472A60" w:rsidP="00472A60">
      <w:pPr>
        <w:pStyle w:val="a4"/>
        <w:numPr>
          <w:ilvl w:val="0"/>
          <w:numId w:val="17"/>
        </w:numPr>
        <w:spacing w:after="0" w:line="240" w:lineRule="auto"/>
        <w:ind w:left="0"/>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Characteristics of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tax system</w:t>
      </w:r>
    </w:p>
    <w:p w:rsidR="00472A60" w:rsidRPr="00C40532" w:rsidRDefault="00472A60" w:rsidP="00472A60">
      <w:pPr>
        <w:spacing w:after="0" w:line="240" w:lineRule="auto"/>
        <w:jc w:val="both"/>
        <w:rPr>
          <w:rStyle w:val="hps"/>
          <w:rFonts w:ascii="Times New Roman" w:hAnsi="Times New Roman" w:cs="Times New Roman"/>
          <w:sz w:val="24"/>
          <w:szCs w:val="24"/>
          <w:lang w:val="en-US"/>
        </w:rPr>
      </w:pPr>
    </w:p>
    <w:p w:rsidR="00472A60" w:rsidRPr="00C40532" w:rsidRDefault="00472A60" w:rsidP="00472A60">
      <w:pPr>
        <w:spacing w:after="0" w:line="240" w:lineRule="auto"/>
        <w:jc w:val="both"/>
        <w:rPr>
          <w:rStyle w:val="hps"/>
          <w:rFonts w:ascii="Times New Roman" w:hAnsi="Times New Roman" w:cs="Times New Roman"/>
          <w:sz w:val="24"/>
          <w:szCs w:val="24"/>
          <w:lang w:val="en-US"/>
        </w:rPr>
      </w:pPr>
    </w:p>
    <w:p w:rsidR="00472A60" w:rsidRPr="00C40532" w:rsidRDefault="00472A60" w:rsidP="00472A60">
      <w:pPr>
        <w:autoSpaceDE w:val="0"/>
        <w:autoSpaceDN w:val="0"/>
        <w:adjustRightInd w:val="0"/>
        <w:spacing w:after="0" w:line="240" w:lineRule="auto"/>
        <w:ind w:firstLine="349"/>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1.</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role of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as a</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high-tech</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economy of the developed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countries in the world</w:t>
      </w:r>
    </w:p>
    <w:p w:rsidR="00472A60" w:rsidRPr="00C40532" w:rsidRDefault="00472A60" w:rsidP="00472A60">
      <w:pPr>
        <w:autoSpaceDE w:val="0"/>
        <w:autoSpaceDN w:val="0"/>
        <w:adjustRightInd w:val="0"/>
        <w:spacing w:after="0" w:line="240" w:lineRule="auto"/>
        <w:ind w:firstLine="349"/>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Despite facing challenges at the domestic level along with a rapidly transforming global landscape, the U.S. economy is still the largest and most important in the world. The U.S. economy represents about 20% of total global output, and is still larger than that of China. Moreover, according to the IMF, the U.S. has the sixth highest per capita GDP (PPP). The U.S. economy features a highly-developed and technologically-advanced services sector, which accounts for about 80% of its output. The U.S. economy is dominated by services-oriented companies in areas such as technology, financial services, healthcare and retail. Large U.S. corporations also play a major role on the global stage, with more than a fifth of companies on the Fortune Global 500 coming from the United States.</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autoSpaceDE w:val="0"/>
        <w:autoSpaceDN w:val="0"/>
        <w:adjustRightInd w:val="0"/>
        <w:spacing w:after="0" w:line="240" w:lineRule="auto"/>
        <w:ind w:firstLine="349"/>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Even though the services sector is the main engine of the economy, the U.S. also has an important manufacturing base, which represents roughly 15% of output. The U.S. is the second largest manufacturer in the world and a leader in higher-value industries such as automobiles, aerospace, machinery, telecommunications and chemicals. Meanwhile, agriculture represents less than 2% of output. However, large amounts of arable land, advanced farming technology and generous government subsidies make the U.S. a net exporter of food and the largest agricultural exporting country in the world.</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autoSpaceDE w:val="0"/>
        <w:autoSpaceDN w:val="0"/>
        <w:adjustRightInd w:val="0"/>
        <w:spacing w:after="0" w:line="240" w:lineRule="auto"/>
        <w:ind w:firstLine="349"/>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 xml:space="preserve">The U.S. economy maintains its powerhouse status through a combination of characteristics. The country has access to abundant natural resources and a sophisticated physical infrastructure. It also has a large, well-educated and productive workforce. Moreover, the physical and human capital is fully leveraged in a free-market and business-oriented environment. The government and the people of the United States both contribute to this unique economic environment. The government provides political stability, a functional legal system, and a regulatory structure that allow the economy to flourish. The general population, including a diversity of immigrants, brings a solid work ethic, as well as a sense of entrepreneurship and risk taking to the mix. Economic growth in the United States </w:t>
      </w:r>
      <w:r w:rsidRPr="00C40532">
        <w:rPr>
          <w:rFonts w:ascii="Times New Roman" w:hAnsi="Times New Roman" w:cs="Times New Roman"/>
          <w:color w:val="333333"/>
          <w:sz w:val="24"/>
          <w:szCs w:val="24"/>
          <w:lang w:val="en-US"/>
        </w:rPr>
        <w:lastRenderedPageBreak/>
        <w:t>is constantly being driven forward by ongoing innovation, research and development as well as capital investment.</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autoSpaceDE w:val="0"/>
        <w:autoSpaceDN w:val="0"/>
        <w:adjustRightInd w:val="0"/>
        <w:spacing w:after="0" w:line="240" w:lineRule="auto"/>
        <w:ind w:firstLine="349"/>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U.S. economy is currently emerging from a period of considerable turmoil. A mix of factors, including low interest rates, widespread mortgage lending, excessive risk taking in the financial sector, high consumer indebtedness and lax government regulation, led to a major recession that began in 2008. The housing market and several major banks collapsed and the U.S. economy proceeded to contract until the third quarter of 2009 in what was the deepest and longest downturn since the Great Depression. The U.S. government intervened by using USD 700 billion to purchase troubled mortgage-related assets and propping up large floundering corporations in order to stabilize the financial system. It also introduced a stimulus package worth USD 831 billion to be spent across the following 10 years to boost the economy.</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autoSpaceDE w:val="0"/>
        <w:autoSpaceDN w:val="0"/>
        <w:adjustRightInd w:val="0"/>
        <w:spacing w:after="0" w:line="240" w:lineRule="auto"/>
        <w:ind w:firstLine="349"/>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economy has been recovering slowly yet unevenly since the depths of the recession in 2009. The economy has received further support through expansionary monetary policies. This includes not only holding interest rates at the lower bound, but also the unconventional practice of the government buying large amounts of financial assets to increase the money supply and hold down long term interest rates—a practice known as “quantitative easing”.</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autoSpaceDE w:val="0"/>
        <w:autoSpaceDN w:val="0"/>
        <w:adjustRightInd w:val="0"/>
        <w:spacing w:after="0" w:line="240" w:lineRule="auto"/>
        <w:ind w:firstLine="349"/>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While the labor market has recovered significantly and employment has returned to pre-crisis levels, there is still widespread debate regarding the health of the U.S. economy. In addition, even though the worst effects of the recession are now fading, the economy still faces a variety of significant challenges going forward. Deteriorating infrastructure, wage stagnation, rising income inequality, elevated pension and medical costs, as well as large current account and government budget deficits, are all issues facing the US economy.</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pBdr>
          <w:bottom w:val="single" w:sz="6" w:space="9" w:color="959595"/>
        </w:pBdr>
        <w:spacing w:after="0" w:line="240" w:lineRule="auto"/>
        <w:jc w:val="both"/>
        <w:outlineLvl w:val="1"/>
        <w:rPr>
          <w:rFonts w:ascii="Times New Roman" w:eastAsia="Times New Roman" w:hAnsi="Times New Roman" w:cs="Times New Roman"/>
          <w:color w:val="04214B"/>
          <w:sz w:val="24"/>
          <w:szCs w:val="24"/>
          <w:lang w:val="en-US"/>
        </w:rPr>
      </w:pPr>
    </w:p>
    <w:p w:rsidR="00472A60" w:rsidRPr="00C40532" w:rsidRDefault="00472A60" w:rsidP="00472A60">
      <w:pPr>
        <w:pBdr>
          <w:bottom w:val="single" w:sz="6" w:space="9" w:color="959595"/>
        </w:pBdr>
        <w:spacing w:after="0" w:line="240" w:lineRule="auto"/>
        <w:ind w:firstLine="349"/>
        <w:jc w:val="both"/>
        <w:outlineLvl w:val="1"/>
        <w:rPr>
          <w:rFonts w:ascii="Times New Roman" w:eastAsia="Times New Roman" w:hAnsi="Times New Roman" w:cs="Times New Roman"/>
          <w:b/>
          <w:color w:val="04214B"/>
          <w:sz w:val="24"/>
          <w:szCs w:val="24"/>
        </w:rPr>
      </w:pPr>
      <w:r w:rsidRPr="00C40532">
        <w:rPr>
          <w:rFonts w:ascii="Times New Roman" w:eastAsia="Times New Roman" w:hAnsi="Times New Roman" w:cs="Times New Roman"/>
          <w:b/>
          <w:color w:val="04214B"/>
          <w:sz w:val="24"/>
          <w:szCs w:val="24"/>
        </w:rPr>
        <w:t>United States Economy Data</w:t>
      </w:r>
    </w:p>
    <w:tbl>
      <w:tblPr>
        <w:tblW w:w="9679" w:type="dxa"/>
        <w:tblCellMar>
          <w:top w:w="15" w:type="dxa"/>
          <w:left w:w="15" w:type="dxa"/>
          <w:bottom w:w="15" w:type="dxa"/>
          <w:right w:w="15" w:type="dxa"/>
        </w:tblCellMar>
        <w:tblLook w:val="04A0"/>
      </w:tblPr>
      <w:tblGrid>
        <w:gridCol w:w="4539"/>
        <w:gridCol w:w="1028"/>
        <w:gridCol w:w="1028"/>
        <w:gridCol w:w="1028"/>
        <w:gridCol w:w="1028"/>
        <w:gridCol w:w="1028"/>
      </w:tblGrid>
      <w:tr w:rsidR="00472A60" w:rsidRPr="00C40532" w:rsidTr="000A0C98">
        <w:trPr>
          <w:tblHeader/>
        </w:trPr>
        <w:tc>
          <w:tcPr>
            <w:tcW w:w="4539" w:type="dxa"/>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b/>
                <w:bCs/>
                <w:sz w:val="24"/>
                <w:szCs w:val="24"/>
              </w:rPr>
            </w:pP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b/>
                <w:bCs/>
                <w:sz w:val="24"/>
                <w:szCs w:val="24"/>
              </w:rPr>
            </w:pPr>
            <w:r w:rsidRPr="00C40532">
              <w:rPr>
                <w:rFonts w:ascii="Times New Roman" w:eastAsia="Times New Roman" w:hAnsi="Times New Roman" w:cs="Times New Roman"/>
                <w:b/>
                <w:bCs/>
                <w:sz w:val="24"/>
                <w:szCs w:val="24"/>
              </w:rPr>
              <w:t>2011</w:t>
            </w: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b/>
                <w:bCs/>
                <w:sz w:val="24"/>
                <w:szCs w:val="24"/>
              </w:rPr>
            </w:pPr>
            <w:r w:rsidRPr="00C40532">
              <w:rPr>
                <w:rFonts w:ascii="Times New Roman" w:eastAsia="Times New Roman" w:hAnsi="Times New Roman" w:cs="Times New Roman"/>
                <w:b/>
                <w:bCs/>
                <w:sz w:val="24"/>
                <w:szCs w:val="24"/>
              </w:rPr>
              <w:t>2012</w:t>
            </w: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b/>
                <w:bCs/>
                <w:sz w:val="24"/>
                <w:szCs w:val="24"/>
              </w:rPr>
            </w:pPr>
            <w:r w:rsidRPr="00C40532">
              <w:rPr>
                <w:rFonts w:ascii="Times New Roman" w:eastAsia="Times New Roman" w:hAnsi="Times New Roman" w:cs="Times New Roman"/>
                <w:b/>
                <w:bCs/>
                <w:sz w:val="24"/>
                <w:szCs w:val="24"/>
              </w:rPr>
              <w:t>2013</w:t>
            </w: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b/>
                <w:bCs/>
                <w:sz w:val="24"/>
                <w:szCs w:val="24"/>
              </w:rPr>
            </w:pPr>
            <w:r w:rsidRPr="00C40532">
              <w:rPr>
                <w:rFonts w:ascii="Times New Roman" w:eastAsia="Times New Roman" w:hAnsi="Times New Roman" w:cs="Times New Roman"/>
                <w:b/>
                <w:bCs/>
                <w:sz w:val="24"/>
                <w:szCs w:val="24"/>
              </w:rPr>
              <w:t>2014</w:t>
            </w: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b/>
                <w:bCs/>
                <w:sz w:val="24"/>
                <w:szCs w:val="24"/>
              </w:rPr>
            </w:pPr>
            <w:r w:rsidRPr="00C40532">
              <w:rPr>
                <w:rFonts w:ascii="Times New Roman" w:eastAsia="Times New Roman" w:hAnsi="Times New Roman" w:cs="Times New Roman"/>
                <w:b/>
                <w:bCs/>
                <w:sz w:val="24"/>
                <w:szCs w:val="24"/>
              </w:rPr>
              <w:t>2015</w:t>
            </w:r>
          </w:p>
        </w:tc>
      </w:tr>
      <w:tr w:rsidR="00472A60" w:rsidRPr="00C40532" w:rsidTr="000A0C98">
        <w:trPr>
          <w:trHeight w:val="361"/>
        </w:trPr>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9" w:history="1">
              <w:r w:rsidR="00472A60" w:rsidRPr="00C40532">
                <w:rPr>
                  <w:rFonts w:ascii="Times New Roman" w:eastAsia="Times New Roman" w:hAnsi="Times New Roman" w:cs="Times New Roman"/>
                  <w:sz w:val="24"/>
                  <w:szCs w:val="24"/>
                  <w:u w:val="single"/>
                </w:rPr>
                <w:t>Population (million)</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312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314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317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319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321</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0" w:history="1">
              <w:r w:rsidR="00472A60" w:rsidRPr="00C40532">
                <w:rPr>
                  <w:rFonts w:ascii="Times New Roman" w:eastAsia="Times New Roman" w:hAnsi="Times New Roman" w:cs="Times New Roman"/>
                  <w:sz w:val="24"/>
                  <w:szCs w:val="24"/>
                  <w:u w:val="single"/>
                </w:rPr>
                <w:t>GDP per capita (USD)</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49,725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51,384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52,608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54,375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55,868</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1" w:history="1">
              <w:r w:rsidR="00472A60" w:rsidRPr="00C40532">
                <w:rPr>
                  <w:rFonts w:ascii="Times New Roman" w:eastAsia="Times New Roman" w:hAnsi="Times New Roman" w:cs="Times New Roman"/>
                  <w:sz w:val="24"/>
                  <w:szCs w:val="24"/>
                  <w:u w:val="single"/>
                </w:rPr>
                <w:t>GDP (USD bn)</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15,518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16,155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16,663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17,348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17,947</w:t>
            </w:r>
          </w:p>
        </w:tc>
      </w:tr>
      <w:tr w:rsidR="00472A60" w:rsidRPr="00C40532" w:rsidTr="000A0C98">
        <w:trPr>
          <w:trHeight w:val="577"/>
        </w:trPr>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"http://www.focus-economics.com/country-indicator/united-states/gdp"</w:instrText>
            </w:r>
            <w:r>
              <w:fldChar w:fldCharType="separate"/>
            </w:r>
            <w:r w:rsidR="00472A60" w:rsidRPr="00C40532">
              <w:rPr>
                <w:rFonts w:ascii="Times New Roman" w:eastAsia="Times New Roman" w:hAnsi="Times New Roman" w:cs="Times New Roman"/>
                <w:sz w:val="24"/>
                <w:szCs w:val="24"/>
                <w:u w:val="single"/>
                <w:lang w:val="en-US"/>
              </w:rPr>
              <w:t>Economic Growth (GDP, annual variation in %)</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2.4</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"http://www.focus-economics.com/country-indicator/united-states/domestic-demand"</w:instrText>
            </w:r>
            <w:r>
              <w:fldChar w:fldCharType="separate"/>
            </w:r>
            <w:r w:rsidR="00472A60" w:rsidRPr="00C40532">
              <w:rPr>
                <w:rFonts w:ascii="Times New Roman" w:eastAsia="Times New Roman" w:hAnsi="Times New Roman" w:cs="Times New Roman"/>
                <w:sz w:val="24"/>
                <w:szCs w:val="24"/>
                <w:u w:val="single"/>
                <w:lang w:val="en-US"/>
              </w:rPr>
              <w:t>Domestic Demand (annual variation in %)</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3.0</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2" w:history="1">
              <w:r w:rsidR="00472A60" w:rsidRPr="00C40532">
                <w:rPr>
                  <w:rFonts w:ascii="Times New Roman" w:eastAsia="Times New Roman" w:hAnsi="Times New Roman" w:cs="Times New Roman"/>
                  <w:sz w:val="24"/>
                  <w:szCs w:val="24"/>
                  <w:u w:val="single"/>
                </w:rPr>
                <w:t>Consumption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3.1</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3" w:history="1">
              <w:r w:rsidR="00472A60" w:rsidRPr="00C40532">
                <w:rPr>
                  <w:rFonts w:ascii="Times New Roman" w:eastAsia="Times New Roman" w:hAnsi="Times New Roman" w:cs="Times New Roman"/>
                  <w:sz w:val="24"/>
                  <w:szCs w:val="24"/>
                  <w:u w:val="single"/>
                </w:rPr>
                <w:t>Investment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6.4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9.8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4.2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4.0</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"http://www.focus-economics.com/country-indicator/united-states/exports-good-services"</w:instrText>
            </w:r>
            <w:r>
              <w:fldChar w:fldCharType="separate"/>
            </w:r>
            <w:r w:rsidR="00472A60" w:rsidRPr="00C40532">
              <w:rPr>
                <w:rFonts w:ascii="Times New Roman" w:eastAsia="Times New Roman" w:hAnsi="Times New Roman" w:cs="Times New Roman"/>
                <w:sz w:val="24"/>
                <w:szCs w:val="24"/>
                <w:u w:val="single"/>
                <w:lang w:val="en-US"/>
              </w:rPr>
              <w:t>Exports (G&amp;S, annual variation in %)</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6.9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1.1</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"http://www.focus-economics.com/country-indicator/united-states/imports-good-services"</w:instrText>
            </w:r>
            <w:r>
              <w:fldChar w:fldCharType="separate"/>
            </w:r>
            <w:r w:rsidR="00472A60" w:rsidRPr="00C40532">
              <w:rPr>
                <w:rFonts w:ascii="Times New Roman" w:eastAsia="Times New Roman" w:hAnsi="Times New Roman" w:cs="Times New Roman"/>
                <w:sz w:val="24"/>
                <w:szCs w:val="24"/>
                <w:u w:val="single"/>
                <w:lang w:val="en-US"/>
              </w:rPr>
              <w:t>Imports (G&amp;S, annual variation in %)</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4.9</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"http://www.focus-economics.com/country-indicator/united-states/industry"</w:instrText>
            </w:r>
            <w:r>
              <w:fldChar w:fldCharType="separate"/>
            </w:r>
            <w:r w:rsidR="00472A60" w:rsidRPr="00C40532">
              <w:rPr>
                <w:rFonts w:ascii="Times New Roman" w:eastAsia="Times New Roman" w:hAnsi="Times New Roman" w:cs="Times New Roman"/>
                <w:sz w:val="24"/>
                <w:szCs w:val="24"/>
                <w:u w:val="single"/>
                <w:lang w:val="en-US"/>
              </w:rPr>
              <w:t>Industrial Production (annual variation in %)</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0.3</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"http://www.focus-economics.com/country-indicator/united-states/retail-sales"</w:instrText>
            </w:r>
            <w:r>
              <w:fldChar w:fldCharType="separate"/>
            </w:r>
            <w:r w:rsidR="00472A60" w:rsidRPr="00C40532">
              <w:rPr>
                <w:rFonts w:ascii="Times New Roman" w:eastAsia="Times New Roman" w:hAnsi="Times New Roman" w:cs="Times New Roman"/>
                <w:sz w:val="24"/>
                <w:szCs w:val="24"/>
                <w:u w:val="single"/>
                <w:lang w:val="en-US"/>
              </w:rPr>
              <w:t>Retail Sales (annual variation in %)</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5.0</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2.2</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4" w:history="1">
              <w:r w:rsidR="00472A60" w:rsidRPr="00C40532">
                <w:rPr>
                  <w:rFonts w:ascii="Times New Roman" w:eastAsia="Times New Roman" w:hAnsi="Times New Roman" w:cs="Times New Roman"/>
                  <w:sz w:val="24"/>
                  <w:szCs w:val="24"/>
                  <w:u w:val="single"/>
                </w:rPr>
                <w:t>Unemployment Rate</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8.9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8.1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6.2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5.3</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5" w:history="1">
              <w:r w:rsidR="00472A60" w:rsidRPr="00C40532">
                <w:rPr>
                  <w:rFonts w:ascii="Times New Roman" w:eastAsia="Times New Roman" w:hAnsi="Times New Roman" w:cs="Times New Roman"/>
                  <w:sz w:val="24"/>
                  <w:szCs w:val="24"/>
                  <w:u w:val="single"/>
                </w:rPr>
                <w:t>Fiscal Balance (% of GDP)</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-8.4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-6.7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-4.1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-2.4</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6" w:history="1">
              <w:r w:rsidR="00472A60" w:rsidRPr="00C40532">
                <w:rPr>
                  <w:rFonts w:ascii="Times New Roman" w:eastAsia="Times New Roman" w:hAnsi="Times New Roman" w:cs="Times New Roman"/>
                  <w:sz w:val="24"/>
                  <w:szCs w:val="24"/>
                  <w:u w:val="single"/>
                </w:rPr>
                <w:t>Public Debt (% of GDP)</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98.3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102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104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105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106</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7" w:history="1">
              <w:r w:rsidR="00472A60" w:rsidRPr="00C40532">
                <w:rPr>
                  <w:rFonts w:ascii="Times New Roman" w:eastAsia="Times New Roman" w:hAnsi="Times New Roman" w:cs="Times New Roman"/>
                  <w:sz w:val="24"/>
                  <w:szCs w:val="24"/>
                  <w:u w:val="single"/>
                </w:rPr>
                <w:t>Money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8.6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6.8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6.2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5.9</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"http://www.focus-economics.com/country-indicator/united-states/inflation-eop"</w:instrText>
            </w:r>
            <w:r>
              <w:fldChar w:fldCharType="separate"/>
            </w:r>
            <w:r w:rsidR="00472A60" w:rsidRPr="00C40532">
              <w:rPr>
                <w:rFonts w:ascii="Times New Roman" w:eastAsia="Times New Roman" w:hAnsi="Times New Roman" w:cs="Times New Roman"/>
                <w:sz w:val="24"/>
                <w:szCs w:val="24"/>
                <w:u w:val="single"/>
                <w:lang w:val="en-US"/>
              </w:rPr>
              <w:t>Inflation Rate (CPI, annual variation in %, eop)</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0.7</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"http://www.focus-economics.com/country-indicator/united-states/inflation"</w:instrText>
            </w:r>
            <w:r>
              <w:fldChar w:fldCharType="separate"/>
            </w:r>
            <w:r w:rsidR="00472A60" w:rsidRPr="00C40532">
              <w:rPr>
                <w:rFonts w:ascii="Times New Roman" w:eastAsia="Times New Roman" w:hAnsi="Times New Roman" w:cs="Times New Roman"/>
                <w:sz w:val="24"/>
                <w:szCs w:val="24"/>
                <w:u w:val="single"/>
                <w:lang w:val="en-US"/>
              </w:rPr>
              <w:t>Inflation Rate (CPI, annual variation in %)</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0.1</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"http://www.focus-economics.com/country-indicator/united-states/producer-prices"</w:instrText>
            </w:r>
            <w:r>
              <w:fldChar w:fldCharType="separate"/>
            </w:r>
            <w:r w:rsidR="00472A60" w:rsidRPr="00C40532">
              <w:rPr>
                <w:rFonts w:ascii="Times New Roman" w:eastAsia="Times New Roman" w:hAnsi="Times New Roman" w:cs="Times New Roman"/>
                <w:sz w:val="24"/>
                <w:szCs w:val="24"/>
                <w:u w:val="single"/>
                <w:lang w:val="en-US"/>
              </w:rPr>
              <w:t>Inflation (PPI, annual variation in %)</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1.6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-0.9</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8" w:history="1">
              <w:r w:rsidR="00472A60" w:rsidRPr="00C40532">
                <w:rPr>
                  <w:rFonts w:ascii="Times New Roman" w:eastAsia="Times New Roman" w:hAnsi="Times New Roman" w:cs="Times New Roman"/>
                  <w:sz w:val="24"/>
                  <w:szCs w:val="24"/>
                  <w:u w:val="single"/>
                </w:rPr>
                <w:t>Policy Interest Rate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0.50</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"http://www.focus-economics.com/country-indicator/united-states/stock-market"</w:instrText>
            </w:r>
            <w:r>
              <w:fldChar w:fldCharType="separate"/>
            </w:r>
            <w:r w:rsidR="00472A60" w:rsidRPr="00C40532">
              <w:rPr>
                <w:rFonts w:ascii="Times New Roman" w:eastAsia="Times New Roman" w:hAnsi="Times New Roman" w:cs="Times New Roman"/>
                <w:sz w:val="24"/>
                <w:szCs w:val="24"/>
                <w:u w:val="single"/>
                <w:lang w:val="en-US"/>
              </w:rPr>
              <w:t>Stock Market (annual variation in %)</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5.5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26.5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-2.2</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19" w:history="1">
              <w:r w:rsidR="00472A60" w:rsidRPr="00C40532">
                <w:rPr>
                  <w:rFonts w:ascii="Times New Roman" w:eastAsia="Times New Roman" w:hAnsi="Times New Roman" w:cs="Times New Roman"/>
                  <w:sz w:val="24"/>
                  <w:szCs w:val="24"/>
                  <w:u w:val="single"/>
                </w:rPr>
                <w:t>Current Account (% of GDP)</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-3.0</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-2.7</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lang w:val="en-US"/>
              </w:rPr>
            </w:pPr>
            <w:r>
              <w:fldChar w:fldCharType="begin"/>
            </w:r>
            <w:r w:rsidRPr="003E0431">
              <w:rPr>
                <w:lang w:val="en-US"/>
              </w:rPr>
              <w:instrText>HYPERLINK "http://www.focus-economics.com/country-indicator/united-states/current-account-usd-bn"</w:instrText>
            </w:r>
            <w:r>
              <w:fldChar w:fldCharType="separate"/>
            </w:r>
            <w:r w:rsidR="00472A60" w:rsidRPr="00C40532">
              <w:rPr>
                <w:rFonts w:ascii="Times New Roman" w:eastAsia="Times New Roman" w:hAnsi="Times New Roman" w:cs="Times New Roman"/>
                <w:sz w:val="24"/>
                <w:szCs w:val="24"/>
                <w:u w:val="single"/>
                <w:lang w:val="en-US"/>
              </w:rPr>
              <w:t>Current Account Balance (USD bn)</w:t>
            </w:r>
            <w:r>
              <w:fldChar w:fldCharType="end"/>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-460.4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-449.7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-376.8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-389.5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-484.1</w:t>
            </w:r>
          </w:p>
        </w:tc>
      </w:tr>
      <w:tr w:rsidR="00472A60" w:rsidRPr="00C40532" w:rsidTr="000A0C98">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AA3725" w:rsidP="000A0C98">
            <w:pPr>
              <w:spacing w:after="0" w:line="240" w:lineRule="auto"/>
              <w:jc w:val="both"/>
              <w:rPr>
                <w:rFonts w:ascii="Times New Roman" w:eastAsia="Times New Roman" w:hAnsi="Times New Roman" w:cs="Times New Roman"/>
                <w:sz w:val="24"/>
                <w:szCs w:val="24"/>
              </w:rPr>
            </w:pPr>
            <w:hyperlink r:id="rId20" w:history="1">
              <w:r w:rsidR="00472A60" w:rsidRPr="00C40532">
                <w:rPr>
                  <w:rFonts w:ascii="Times New Roman" w:eastAsia="Times New Roman" w:hAnsi="Times New Roman" w:cs="Times New Roman"/>
                  <w:sz w:val="24"/>
                  <w:szCs w:val="24"/>
                  <w:u w:val="single"/>
                </w:rPr>
                <w:t>Trade Balance (USD billion)</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-740.7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-741.2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-702.6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-741.5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72A60" w:rsidRPr="00C40532" w:rsidRDefault="00472A60" w:rsidP="000A0C98">
            <w:pPr>
              <w:spacing w:after="0" w:line="240" w:lineRule="auto"/>
              <w:jc w:val="both"/>
              <w:rPr>
                <w:rFonts w:ascii="Times New Roman" w:eastAsia="Times New Roman" w:hAnsi="Times New Roman" w:cs="Times New Roman"/>
                <w:sz w:val="24"/>
                <w:szCs w:val="24"/>
              </w:rPr>
            </w:pPr>
            <w:r w:rsidRPr="00C40532">
              <w:rPr>
                <w:rFonts w:ascii="Times New Roman" w:eastAsia="Times New Roman" w:hAnsi="Times New Roman" w:cs="Times New Roman"/>
                <w:sz w:val="24"/>
                <w:szCs w:val="24"/>
              </w:rPr>
              <w:t>-759.3</w:t>
            </w:r>
          </w:p>
        </w:tc>
      </w:tr>
    </w:tbl>
    <w:p w:rsidR="00472A60" w:rsidRPr="00C40532" w:rsidRDefault="00472A60" w:rsidP="00472A60">
      <w:pPr>
        <w:autoSpaceDE w:val="0"/>
        <w:autoSpaceDN w:val="0"/>
        <w:adjustRightInd w:val="0"/>
        <w:spacing w:after="0" w:line="240" w:lineRule="auto"/>
        <w:ind w:firstLine="709"/>
        <w:jc w:val="both"/>
        <w:rPr>
          <w:rFonts w:ascii="Times New Roman" w:eastAsiaTheme="minorHAnsi" w:hAnsi="Times New Roman" w:cs="Times New Roman"/>
          <w:sz w:val="24"/>
          <w:szCs w:val="24"/>
          <w:lang w:val="en-US" w:eastAsia="en-US"/>
        </w:rPr>
      </w:pPr>
    </w:p>
    <w:p w:rsidR="00472A60" w:rsidRPr="00C40532" w:rsidRDefault="00472A60" w:rsidP="00472A60">
      <w:pPr>
        <w:spacing w:after="0" w:line="240" w:lineRule="auto"/>
        <w:ind w:firstLine="708"/>
        <w:jc w:val="both"/>
        <w:rPr>
          <w:rFonts w:ascii="Times New Roman" w:hAnsi="Times New Roman" w:cs="Times New Roman"/>
          <w:b/>
          <w:bCs/>
          <w:color w:val="333333"/>
          <w:sz w:val="24"/>
          <w:szCs w:val="24"/>
        </w:rPr>
      </w:pPr>
      <w:r w:rsidRPr="00C40532">
        <w:rPr>
          <w:rFonts w:ascii="Times New Roman" w:hAnsi="Times New Roman" w:cs="Times New Roman"/>
          <w:b/>
          <w:bCs/>
          <w:color w:val="333333"/>
          <w:sz w:val="24"/>
          <w:szCs w:val="24"/>
        </w:rPr>
        <w:t>U.S. Economic History</w:t>
      </w:r>
    </w:p>
    <w:p w:rsidR="00472A60" w:rsidRPr="00C40532" w:rsidRDefault="00472A60" w:rsidP="00472A60">
      <w:pPr>
        <w:spacing w:after="0" w:line="240" w:lineRule="auto"/>
        <w:jc w:val="both"/>
        <w:rPr>
          <w:rFonts w:ascii="Times New Roman" w:hAnsi="Times New Roman" w:cs="Times New Roman"/>
          <w:b/>
          <w:bCs/>
          <w:color w:val="333333"/>
          <w:sz w:val="24"/>
          <w:szCs w:val="24"/>
        </w:rPr>
      </w:pP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end of World War II marked the beginning of a golden era for the U.S economy. This period was marked by a surge in economic activity and productivity, a growing and more prosperous middle class, and the rise of the baby boomer generation. From the late 1940s to the early 1970s, U.S. GDP grew at an average annual rate of nearly 4%. By the 1970s, the structural change in the economy away from industry and manufacturing to services was in full force. However, after several decades of unprecedented growth, the economy began to show signs of slowing and a series of events, including the collapse of the Bretton Woods system, the 1973 oil crisis and increased global competition, precipitated important economic changes. The 1970s were marked by a period of stagnating growth and inflation referred to as “stagflation”.</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1980s gave rise to Reaganomics, a series of economic policies promoted by President Ronald Reagan. The main objectives were reduced government spending and regulation, as well as lower taxes and a tighter money supply. Regan was highly successful in overhauling the tax code and pushing ahead with deregulation in several major sectors of the economy; and while growth and productivity increased, the government’s debt multiplied significantly. In a broader sense, Reaganomics marked a turn toward free-market supply-side economics and away from the Keynsian-inspired economics that had been favored since the Great Depression.</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Increasing global integration and the rise of new technology, including the adoption of productivity-enhancing IT in the workplace and the surge of high-tech companies, helped fuel an economic boom in the 1990s. The period between 1993 and 2001 marked the longest sustained expansion in U.S economic history, and powered a steep rise in employment, income and consumer demand.</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lastRenderedPageBreak/>
        <w:t>Moreover, the strong growth and low unemployment during this time were particularly remarkable because the government budget was reigned in simultaneously and actually achieved a surplus for four years between 1998 and 2001. The fiscal improvement was made possible in part by tax increases introduced by President Bill Clinton, but also thanks to the booming economy and surging stock market. The stock market was driven up by the rise of internet-based companies in what is known as the “dot-com bubble”, which generated vast sums of unanticipated revenue for the government on capital gains taxes and rising salaries. However, the overvaluation of dot-com stocks eventually became apparent and the bubble burst in 2000.</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first years of the 2000s saw a sharp drop in economy activity following the dot-com burst. The terrorist attacks on September 11, 2001, and several corporate scandals put a further damper on economic activity and business confidence. The Federal Reserve (the Fed), under Alan Greenspan, stepped in to counteract the struggling economy by introducing low interest rates. This move would later be considered a major factor in causing the massive housing market bubble that burst and precipitated the Great Recession that began in 2008.</w:t>
      </w:r>
    </w:p>
    <w:p w:rsidR="00472A60" w:rsidRPr="00C40532" w:rsidRDefault="00472A60" w:rsidP="00472A60">
      <w:pPr>
        <w:spacing w:after="0" w:line="240" w:lineRule="auto"/>
        <w:ind w:firstLine="708"/>
        <w:jc w:val="both"/>
        <w:rPr>
          <w:rStyle w:val="hps"/>
          <w:rFonts w:ascii="Times New Roman" w:hAnsi="Times New Roman" w:cs="Times New Roman"/>
          <w:b/>
          <w:sz w:val="24"/>
          <w:szCs w:val="24"/>
          <w:lang w:val="en-US"/>
        </w:rPr>
      </w:pPr>
      <w:r w:rsidRPr="00C40532">
        <w:rPr>
          <w:rFonts w:ascii="Times New Roman" w:hAnsi="Times New Roman" w:cs="Times New Roman"/>
          <w:color w:val="333333"/>
          <w:sz w:val="24"/>
          <w:szCs w:val="24"/>
          <w:lang w:val="en-US"/>
        </w:rPr>
        <w:br/>
      </w:r>
    </w:p>
    <w:p w:rsidR="00472A60" w:rsidRPr="00C40532" w:rsidRDefault="00472A60" w:rsidP="00472A60">
      <w:pPr>
        <w:spacing w:after="0" w:line="240" w:lineRule="auto"/>
        <w:ind w:firstLine="708"/>
        <w:jc w:val="center"/>
        <w:rPr>
          <w:rFonts w:ascii="Times New Roman" w:hAnsi="Times New Roman" w:cs="Times New Roman"/>
          <w:b/>
          <w:bCs/>
          <w:color w:val="333333"/>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US 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 its structure</w:t>
      </w:r>
      <w:r w:rsidRPr="00C40532">
        <w:rPr>
          <w:rFonts w:ascii="Times New Roman" w:hAnsi="Times New Roman" w:cs="Times New Roman"/>
          <w:b/>
          <w:sz w:val="24"/>
          <w:szCs w:val="24"/>
          <w:lang w:val="en-US"/>
        </w:rPr>
        <w:br/>
      </w:r>
    </w:p>
    <w:p w:rsidR="00472A60" w:rsidRPr="00C40532" w:rsidRDefault="00472A60" w:rsidP="00472A60">
      <w:pPr>
        <w:spacing w:after="0" w:line="240" w:lineRule="auto"/>
        <w:ind w:firstLine="708"/>
        <w:rPr>
          <w:rFonts w:ascii="Times New Roman" w:hAnsi="Times New Roman" w:cs="Times New Roman"/>
          <w:color w:val="333333"/>
          <w:sz w:val="24"/>
          <w:szCs w:val="24"/>
          <w:lang w:val="en-US"/>
        </w:rPr>
      </w:pPr>
      <w:r w:rsidRPr="00C40532">
        <w:rPr>
          <w:rFonts w:ascii="Times New Roman" w:hAnsi="Times New Roman" w:cs="Times New Roman"/>
          <w:b/>
          <w:bCs/>
          <w:color w:val="333333"/>
          <w:sz w:val="24"/>
          <w:szCs w:val="24"/>
          <w:lang w:val="en-US"/>
        </w:rPr>
        <w:t>United States’ Balance of payments</w:t>
      </w: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Over the past several decades, the U.S. current account balance has been heavily influenced by international trade flows, with the ongoing trade deficit resulting in a consistent current account deficit. Earnings on U.S. assets and investments owned abroad have a very small part in the current account, and a surplus in this category is not nearly enough to offset the large trade deficit. Overall, the current account deficit implies that the value of the goods and services being purchased from abroad by the United States exceeds the value of the goods and services being sold to foreigners. The U.S. current account deficit widened progressively since the 1990s and reached an all-time record and global high of 5.8% of GDP in 2006. The deficit has since narrowed due in part to increased domestic oil production.</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current account deficit is mirrored by a capital account surplus. The net amount of capital inflows received in the United States from abroad makes it possible to finance the current account deficit. Foreigners continue to invest in U.S. assets and companies, and so the net international investment position of the United States has grown over time. The United States is by far the top recipient of foreign direct investment (FDI). About 80% of FDI in the United States comes from a set of just nine industrialized countries. The UK, Japan and the Netherlands are the top sources of FDI in the U.S. The U.S. manufacturing sector draws about 40% of FDI.</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b/>
          <w:bCs/>
          <w:color w:val="333333"/>
          <w:sz w:val="24"/>
          <w:szCs w:val="24"/>
          <w:lang w:val="en-US"/>
        </w:rPr>
      </w:pPr>
      <w:r w:rsidRPr="00C40532">
        <w:rPr>
          <w:rFonts w:ascii="Times New Roman" w:hAnsi="Times New Roman" w:cs="Times New Roman"/>
          <w:b/>
          <w:bCs/>
          <w:color w:val="333333"/>
          <w:sz w:val="24"/>
          <w:szCs w:val="24"/>
          <w:lang w:val="en-US"/>
        </w:rPr>
        <w:t>United States’ Trade Structure</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U.S. is the 2nd leading exporter of goods and services in the world and the number one leading importer. The U.S. has consistently run a trade deficit, mainly due to the dependence on foreign oil to meet its energy needs and high domestic demand for consumer goods produced abroad, however thanks to advances in domestic oil production, the energy gap is closing. The main trading partners of the U.S. are Canada, China, Mexico and Japan. Canada is the main destination for U.S. exports, whereas China is the main source of imports.</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 xml:space="preserve">The U.S. plays a major role in the international trade system and is generally seen as a proponent of reduced trade barriers and free trade agreements. The United States currently has more than a dozen free trade agreements in place. Among them </w:t>
      </w:r>
      <w:proofErr w:type="gramStart"/>
      <w:r w:rsidRPr="00C40532">
        <w:rPr>
          <w:rFonts w:ascii="Times New Roman" w:hAnsi="Times New Roman" w:cs="Times New Roman"/>
          <w:color w:val="333333"/>
          <w:sz w:val="24"/>
          <w:szCs w:val="24"/>
          <w:lang w:val="en-US"/>
        </w:rPr>
        <w:t>are</w:t>
      </w:r>
      <w:proofErr w:type="gramEnd"/>
      <w:r w:rsidRPr="00C40532">
        <w:rPr>
          <w:rFonts w:ascii="Times New Roman" w:hAnsi="Times New Roman" w:cs="Times New Roman"/>
          <w:color w:val="333333"/>
          <w:sz w:val="24"/>
          <w:szCs w:val="24"/>
          <w:lang w:val="en-US"/>
        </w:rPr>
        <w:t xml:space="preserve"> the North American Free Trade Agreement (NAFTA), which was created in conjunction with Canada and Mexico in 1994. The United States is also an active member of the World Trade Organization (WTO).</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b/>
          <w:bCs/>
          <w:color w:val="333333"/>
          <w:sz w:val="24"/>
          <w:szCs w:val="24"/>
          <w:lang w:val="en-US"/>
        </w:rPr>
      </w:pPr>
      <w:r w:rsidRPr="00C40532">
        <w:rPr>
          <w:rFonts w:ascii="Times New Roman" w:hAnsi="Times New Roman" w:cs="Times New Roman"/>
          <w:b/>
          <w:bCs/>
          <w:color w:val="333333"/>
          <w:sz w:val="24"/>
          <w:szCs w:val="24"/>
          <w:lang w:val="en-US"/>
        </w:rPr>
        <w:t>Exports from the United States</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lastRenderedPageBreak/>
        <w:t>Although the United States has lost some of its competitive edge in recent decades, material goods still represent two thirds of its total exports. The United States mainly exports high-value capital goods and manufactured products, including industrial machinery, airplanes, motor vehicles and chemicals. In 2015, the U.S. exported USD 1.510 trillion in goods.</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United States is the world’s leading exporter of services. This includes financial and professional business services as well as other knowledge-intensive services. Travel, transportation and tourism services are also a major export. Services represent about one third of total exports.</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b/>
          <w:bCs/>
          <w:color w:val="333333"/>
          <w:sz w:val="24"/>
          <w:szCs w:val="24"/>
          <w:lang w:val="en-US"/>
        </w:rPr>
      </w:pPr>
      <w:r w:rsidRPr="00C40532">
        <w:rPr>
          <w:rFonts w:ascii="Times New Roman" w:hAnsi="Times New Roman" w:cs="Times New Roman"/>
          <w:b/>
          <w:bCs/>
          <w:color w:val="333333"/>
          <w:sz w:val="24"/>
          <w:szCs w:val="24"/>
          <w:lang w:val="en-US"/>
        </w:rPr>
        <w:t>Imports to the United States</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More 80% of total imports brought to the United States from abroad are goods. Roughly 15% of these imports are in the form crude oil, fuel oil and petroleum products. Industrial machinery, supplies and equipment represent another 15% of imported goods. Almost 25% of imported goods are capital goods, such as computers, computer accessories, electronics, medical equipment, and telecommunications equipment. Consumer goods represent another 25% of imported goods. Cellphones, pharmaceuticals, toys, household equipment, textiles, apparel, televisions, and footwear are the main types of consumer goods imported to the United States. An additional 15% of imported goods are automotive vehicles, parts, and engines. Food and beverages represent only about 5% of imported goods. Services represent only 20% of total imports, and are primarily financial services, as well as travel and transportation.</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b/>
          <w:bCs/>
          <w:color w:val="333333"/>
          <w:sz w:val="24"/>
          <w:szCs w:val="24"/>
          <w:lang w:val="en-US"/>
        </w:rPr>
      </w:pPr>
      <w:r w:rsidRPr="00C40532">
        <w:rPr>
          <w:rFonts w:ascii="Times New Roman" w:hAnsi="Times New Roman" w:cs="Times New Roman"/>
          <w:b/>
          <w:bCs/>
          <w:color w:val="333333"/>
          <w:sz w:val="24"/>
          <w:szCs w:val="24"/>
          <w:lang w:val="en-US"/>
        </w:rPr>
        <w:t>United States’ Economic Policy</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U.S. government has faced the momentous task of reversing the effects of the recession with a combination of expansionary fiscal and monetary policy. On the fiscal side, government stimulus spending and tax cuts prevented further deterioration of the economy. On the monetary side, the Federal Reserve has tackled economic weakness with both traditional and unconventional policies.</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United States is typically regarded as the home of free-market economic policies. However, the U.S. government exercises a significant amount of regulation over economic, commercial and financial activities. Following the recession, the government stepped up its oversight in the financial sector. The Dodd-Frank act, passed in 2010, represents the most comprehensive reform of financial markets regulation since the Great Depression.</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b/>
          <w:bCs/>
          <w:color w:val="333333"/>
          <w:sz w:val="24"/>
          <w:szCs w:val="24"/>
          <w:lang w:val="en-US"/>
        </w:rPr>
      </w:pPr>
      <w:r w:rsidRPr="00C40532">
        <w:rPr>
          <w:rFonts w:ascii="Times New Roman" w:hAnsi="Times New Roman" w:cs="Times New Roman"/>
          <w:b/>
          <w:bCs/>
          <w:color w:val="333333"/>
          <w:sz w:val="24"/>
          <w:szCs w:val="24"/>
          <w:lang w:val="en-US"/>
        </w:rPr>
        <w:t>United States’ Fiscal Policy</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U.S. government tends to spend more money than it takes in, and thus has incurred fiscal deficits almost uninterruptedly during the past several decades. The only time when the government managed to balance a budget in recent history was between 1998 and 2001, when the strong economy resulted in higher-than-usual tax revenues. The fiscal deficit reached the highest point since 1945 in 2009 at 9.8% of GDP, but has improved progressively since then; the deficit dropped to 2.4% of GDP in 2015.</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largest portion of government spending is mandated by existing laws, with a large amount of funds allocated to entitlement programs such as Social Security and Medicaid. Mandatory spending represents nearly 60% of total government spending. The remainder is referred to as discretionary spending, and is determined by the annual federal budget. About half of the discretionary budget is spent on the military and defense, with the other half spent on government programs and public services.</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Nearly 50% of tax obtained by the U.S. government comes from income taxes on individuals, with an additional 10% coming from income taxes on businesses and corporations. Another 35% of collections come from payroll and social security taxes. Excise taxes charged on goods such as liquor, tobacco and gasoline bring in a smaller amount, less than 5%. Tax revenues equaled about 18% of GDP on average between 1970 and 2010. Total tax revenues as a percentage of GDP were about 18% in 2015.</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lastRenderedPageBreak/>
        <w:t>The stimulus package introduced by the Obama administration in 2009 included USD 288 billion in tax cuts and incentives. Less than two years later, Obama announced an extension to the tax cuts that had been introduced during the Bush administration at a cost of more than USD 400 billion over two years.</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b/>
          <w:bCs/>
          <w:color w:val="333333"/>
          <w:sz w:val="24"/>
          <w:szCs w:val="24"/>
          <w:lang w:val="en-US"/>
        </w:rPr>
      </w:pPr>
      <w:r w:rsidRPr="00C40532">
        <w:rPr>
          <w:rFonts w:ascii="Times New Roman" w:hAnsi="Times New Roman" w:cs="Times New Roman"/>
          <w:b/>
          <w:bCs/>
          <w:color w:val="333333"/>
          <w:sz w:val="24"/>
          <w:szCs w:val="24"/>
          <w:lang w:val="en-US"/>
        </w:rPr>
        <w:t>United States’ Monetary Policy</w:t>
      </w: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U.S. Congress has established that the monetary policy objectives of the Federal Reserve are to promote maximum employment and price stability in what is known as the “dual mandate”. The Federal Open Market Committee (FOMC) is the Fed's monetary policymaking body. The FOMC meets about eight times a year to discuss developments and the outlook for the U.S. economy and to debate different policy options, including the level of interest rates. The federal funds rate, the main interest rate managed by the Fed, is the rate which deposit banks charge each other to trade funds overnight in order to maintain reserve balance requirements. The federal funds rate is one of the most important in the U.S. economy because it influences all other short term interest rates.</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During the years since the recession hit, the Fed has been very active</w:t>
      </w:r>
      <w:proofErr w:type="gramStart"/>
      <w:r w:rsidRPr="00C40532">
        <w:rPr>
          <w:rFonts w:ascii="Times New Roman" w:hAnsi="Times New Roman" w:cs="Times New Roman"/>
          <w:color w:val="333333"/>
          <w:sz w:val="24"/>
          <w:szCs w:val="24"/>
          <w:lang w:val="en-US"/>
        </w:rPr>
        <w:t>..</w:t>
      </w:r>
      <w:proofErr w:type="gramEnd"/>
      <w:r w:rsidRPr="00C40532">
        <w:rPr>
          <w:rFonts w:ascii="Times New Roman" w:hAnsi="Times New Roman" w:cs="Times New Roman"/>
          <w:color w:val="333333"/>
          <w:sz w:val="24"/>
          <w:szCs w:val="24"/>
          <w:lang w:val="en-US"/>
        </w:rPr>
        <w:t xml:space="preserve"> Interest rates were initially supposed to be kept low only until the unemployment rate dropped to 6.5% or inflation surpassed 2.5%. However, this specific forward guidance was revamped in March 2014 when the Fed announced that any future decisions to hike interest rates no longer depended on previously-established quantitative thresholds, but rather on the assessment of a broad range of more qualitative information. In an additional response to counter the effects of the recession, in December 2012, the Fed announced an unconventional policy known as “quantitative easing”. This policy involves the purchase of vast sums of financial assets in an attempt to increase the money supply and hold down long-term interest rates.</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b/>
          <w:bCs/>
          <w:color w:val="333333"/>
          <w:sz w:val="24"/>
          <w:szCs w:val="24"/>
          <w:lang w:val="en-US"/>
        </w:rPr>
      </w:pPr>
      <w:r w:rsidRPr="00C40532">
        <w:rPr>
          <w:rFonts w:ascii="Times New Roman" w:hAnsi="Times New Roman" w:cs="Times New Roman"/>
          <w:b/>
          <w:bCs/>
          <w:color w:val="333333"/>
          <w:sz w:val="24"/>
          <w:szCs w:val="24"/>
          <w:lang w:val="en-US"/>
        </w:rPr>
        <w:t>United States’ Exchange Rate Policy</w:t>
      </w:r>
    </w:p>
    <w:p w:rsidR="00472A60" w:rsidRPr="00C40532" w:rsidRDefault="00472A60" w:rsidP="00472A60">
      <w:pPr>
        <w:spacing w:after="0" w:line="240" w:lineRule="auto"/>
        <w:ind w:firstLine="708"/>
        <w:jc w:val="both"/>
        <w:rPr>
          <w:rStyle w:val="apple-converted-space"/>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The U.S. dollar is often referred to as the world’s currency because it is by far the most used currency in international transactions and also the most widely held reserve currency. Almost two thirds of currency reserves held throughout the world are in U.S. dollars.</w:t>
      </w:r>
      <w:r w:rsidRPr="00C40532">
        <w:rPr>
          <w:rStyle w:val="apple-converted-space"/>
          <w:rFonts w:ascii="Times New Roman" w:hAnsi="Times New Roman" w:cs="Times New Roman"/>
          <w:color w:val="333333"/>
          <w:sz w:val="24"/>
          <w:szCs w:val="24"/>
          <w:lang w:val="en-US"/>
        </w:rPr>
        <w:t> </w:t>
      </w:r>
    </w:p>
    <w:p w:rsidR="00472A60" w:rsidRPr="00C40532" w:rsidRDefault="00472A60" w:rsidP="00472A60">
      <w:pPr>
        <w:spacing w:after="0" w:line="240" w:lineRule="auto"/>
        <w:ind w:firstLine="708"/>
        <w:jc w:val="both"/>
        <w:rPr>
          <w:rFonts w:ascii="Times New Roman" w:hAnsi="Times New Roman" w:cs="Times New Roman"/>
          <w:color w:val="333333"/>
          <w:sz w:val="24"/>
          <w:szCs w:val="24"/>
          <w:lang w:val="en-US"/>
        </w:rPr>
      </w:pPr>
      <w:r w:rsidRPr="00C40532">
        <w:rPr>
          <w:rFonts w:ascii="Times New Roman" w:hAnsi="Times New Roman" w:cs="Times New Roman"/>
          <w:color w:val="333333"/>
          <w:sz w:val="24"/>
          <w:szCs w:val="24"/>
          <w:lang w:val="en-US"/>
        </w:rPr>
        <w:t>Although the Treasury Department has the primary authority to oversee international financial issues, the Treasury’s decisions regarding foreign exchange are made in consultation with the Federal Reserve. However, U.S. intervention in the foreign exchange market has become increasingly less frequent. U.S. authorities typically let the open foreign exchange market and domestic monetary policies determine rates.</w:t>
      </w:r>
    </w:p>
    <w:p w:rsidR="00472A60" w:rsidRPr="00C40532" w:rsidRDefault="00472A60" w:rsidP="00472A60">
      <w:pPr>
        <w:spacing w:after="0" w:line="240" w:lineRule="auto"/>
        <w:jc w:val="both"/>
        <w:rPr>
          <w:rFonts w:ascii="Times New Roman" w:hAnsi="Times New Roman" w:cs="Times New Roman"/>
          <w:b/>
          <w:sz w:val="24"/>
          <w:szCs w:val="24"/>
          <w:lang w:val="en-US"/>
        </w:rPr>
      </w:pPr>
    </w:p>
    <w:p w:rsidR="00472A60" w:rsidRPr="00C40532" w:rsidRDefault="00472A60" w:rsidP="00472A60">
      <w:pPr>
        <w:spacing w:after="0" w:line="240" w:lineRule="auto"/>
        <w:ind w:firstLine="708"/>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3. Basic</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principles of the US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budget process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structure.</w:t>
      </w:r>
    </w:p>
    <w:p w:rsidR="00472A60" w:rsidRPr="00C40532" w:rsidRDefault="00472A60" w:rsidP="00472A60">
      <w:pPr>
        <w:spacing w:after="0" w:line="240" w:lineRule="auto"/>
        <w:ind w:firstLine="708"/>
        <w:jc w:val="both"/>
        <w:rPr>
          <w:rStyle w:val="hps"/>
          <w:rFonts w:ascii="Times New Roman" w:hAnsi="Times New Roman" w:cs="Times New Roman"/>
          <w:b/>
          <w:sz w:val="24"/>
          <w:szCs w:val="24"/>
          <w:lang w:val="en-US"/>
        </w:rPr>
      </w:pP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The</w:t>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b/>
          <w:bCs/>
          <w:color w:val="252525"/>
          <w:sz w:val="24"/>
          <w:szCs w:val="24"/>
          <w:lang w:val="en-US"/>
        </w:rPr>
        <w:t>Budget of the United States Government</w:t>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often begins as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"https://en.wikipedia.org/wiki/President_of_the_United_States" \o "President of the United States"</w:instrText>
      </w:r>
      <w:r w:rsidR="00AA3725">
        <w:fldChar w:fldCharType="separate"/>
      </w:r>
      <w:r w:rsidRPr="00C40532">
        <w:rPr>
          <w:rStyle w:val="a5"/>
          <w:rFonts w:ascii="Times New Roman" w:hAnsi="Times New Roman" w:cs="Times New Roman"/>
          <w:color w:val="0B0080"/>
          <w:sz w:val="24"/>
          <w:szCs w:val="24"/>
          <w:lang w:val="en-US"/>
        </w:rPr>
        <w:t>President</w:t>
      </w:r>
      <w:r w:rsidR="00AA3725">
        <w:fldChar w:fldCharType="end"/>
      </w:r>
      <w:r w:rsidRPr="00C40532">
        <w:rPr>
          <w:rFonts w:ascii="Times New Roman" w:hAnsi="Times New Roman" w:cs="Times New Roman"/>
          <w:color w:val="252525"/>
          <w:sz w:val="24"/>
          <w:szCs w:val="24"/>
          <w:lang w:val="en-US"/>
        </w:rPr>
        <w:t>'s proposal to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"https://en.wikipedia.org/wiki/U.S._Congress" \o "U.S. Congress"</w:instrText>
      </w:r>
      <w:r w:rsidR="00AA3725">
        <w:fldChar w:fldCharType="separate"/>
      </w:r>
      <w:r w:rsidRPr="00C40532">
        <w:rPr>
          <w:rStyle w:val="a5"/>
          <w:rFonts w:ascii="Times New Roman" w:hAnsi="Times New Roman" w:cs="Times New Roman"/>
          <w:color w:val="0B0080"/>
          <w:sz w:val="24"/>
          <w:szCs w:val="24"/>
          <w:lang w:val="en-US"/>
        </w:rPr>
        <w:t>U.S. Congress</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which recommends funding levels for the next</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"https://en.wikipedia.org/wiki/Fiscal_year" \o "Fiscal year"</w:instrText>
      </w:r>
      <w:r w:rsidR="00AA3725">
        <w:fldChar w:fldCharType="separate"/>
      </w:r>
      <w:r w:rsidRPr="00C40532">
        <w:rPr>
          <w:rStyle w:val="a5"/>
          <w:rFonts w:ascii="Times New Roman" w:hAnsi="Times New Roman" w:cs="Times New Roman"/>
          <w:color w:val="0B0080"/>
          <w:sz w:val="24"/>
          <w:szCs w:val="24"/>
          <w:lang w:val="en-US"/>
        </w:rPr>
        <w:t>fiscal year</w:t>
      </w:r>
      <w:r w:rsidR="00AA3725">
        <w:fldChar w:fldCharType="end"/>
      </w:r>
      <w:r w:rsidRPr="00C40532">
        <w:rPr>
          <w:rFonts w:ascii="Times New Roman" w:hAnsi="Times New Roman" w:cs="Times New Roman"/>
          <w:color w:val="252525"/>
          <w:sz w:val="24"/>
          <w:szCs w:val="24"/>
          <w:lang w:val="en-US"/>
        </w:rPr>
        <w:t>, beginning October 1 and ending on September 30 of the year following. The fiscal year is named for the year in which it ends. However, Congress is the body required by law to pass appropriations annually and to submit funding bills passed by both houses to the President for signature. Congressional decisions are governed by rules and legislation regarding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"https://en.wikipedia.org/wiki/United_States_budget_process" \o "United States budget process"</w:instrText>
      </w:r>
      <w:r w:rsidR="00AA3725">
        <w:fldChar w:fldCharType="separate"/>
      </w:r>
      <w:r w:rsidRPr="00C40532">
        <w:rPr>
          <w:rStyle w:val="a5"/>
          <w:rFonts w:ascii="Times New Roman" w:hAnsi="Times New Roman" w:cs="Times New Roman"/>
          <w:color w:val="0B0080"/>
          <w:sz w:val="24"/>
          <w:szCs w:val="24"/>
          <w:lang w:val="en-US"/>
        </w:rPr>
        <w:t>federal budget process</w:t>
      </w:r>
      <w:r w:rsidR="00AA3725">
        <w:fldChar w:fldCharType="end"/>
      </w:r>
      <w:r w:rsidRPr="00C40532">
        <w:rPr>
          <w:rFonts w:ascii="Times New Roman" w:hAnsi="Times New Roman" w:cs="Times New Roman"/>
          <w:color w:val="252525"/>
          <w:sz w:val="24"/>
          <w:szCs w:val="24"/>
          <w:lang w:val="en-US"/>
        </w:rPr>
        <w:t>. Budget committees set spending limits for the House and Senate committees and for Appropriations subcommittees, which then approve individual</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"https://en.wikipedia.org/wiki/Appropriations_bill_(United_States)" \o "Appropriations bill (United States)"</w:instrText>
      </w:r>
      <w:r w:rsidR="00AA3725">
        <w:fldChar w:fldCharType="separate"/>
      </w:r>
      <w:r w:rsidRPr="00C40532">
        <w:rPr>
          <w:rStyle w:val="a5"/>
          <w:rFonts w:ascii="Times New Roman" w:hAnsi="Times New Roman" w:cs="Times New Roman"/>
          <w:color w:val="0B0080"/>
          <w:sz w:val="24"/>
          <w:szCs w:val="24"/>
          <w:lang w:val="en-US"/>
        </w:rPr>
        <w:t>appropriations bills</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to allocate funding to various federal programs.</w:t>
      </w: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 xml:space="preserve">If Congress fails to pass an annual budget, a series of Appropriations bills must be passed as "stop gap" measures. After Congress approves an appropriations bill, it is sent to the President, who may sign it into law, or may veto it (as he would a budget when passed by the Congress). A vetoed bill is sent back to Congress, which can pass it into law with a two-thirds majority in each chamber. Congress may also combine all or some appropriations bills into an omnibus reconciliation bill. In </w:t>
      </w:r>
      <w:r w:rsidRPr="00C40532">
        <w:rPr>
          <w:rFonts w:ascii="Times New Roman" w:hAnsi="Times New Roman" w:cs="Times New Roman"/>
          <w:color w:val="252525"/>
          <w:sz w:val="24"/>
          <w:szCs w:val="24"/>
          <w:lang w:val="en-US"/>
        </w:rPr>
        <w:lastRenderedPageBreak/>
        <w:t>addition, the president may request and the Congress may pass supplemental appropriations bills or emergency supplemental appropriations bills.</w:t>
      </w: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Several government agencies provide budget data and analysis. These include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"https://en.wikipedia.org/wiki/Government_Accountability_Office" \o "Government Accountability Office"</w:instrText>
      </w:r>
      <w:r w:rsidR="00AA3725">
        <w:fldChar w:fldCharType="separate"/>
      </w:r>
      <w:r w:rsidRPr="00C40532">
        <w:rPr>
          <w:rStyle w:val="a5"/>
          <w:rFonts w:ascii="Times New Roman" w:hAnsi="Times New Roman" w:cs="Times New Roman"/>
          <w:color w:val="0B0080"/>
          <w:sz w:val="24"/>
          <w:szCs w:val="24"/>
          <w:lang w:val="en-US"/>
        </w:rPr>
        <w:t>Government Accountability Office</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(GAO),</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"https://en.wikipedia.org/wiki/Congressional_Budget_Office" \o "Congressional Budget Office"</w:instrText>
      </w:r>
      <w:r w:rsidR="00AA3725">
        <w:fldChar w:fldCharType="separate"/>
      </w:r>
      <w:r w:rsidRPr="00C40532">
        <w:rPr>
          <w:rStyle w:val="a5"/>
          <w:rFonts w:ascii="Times New Roman" w:hAnsi="Times New Roman" w:cs="Times New Roman"/>
          <w:color w:val="0B0080"/>
          <w:sz w:val="24"/>
          <w:szCs w:val="24"/>
          <w:lang w:val="en-US"/>
        </w:rPr>
        <w:t>Congressional Budget Office</w:t>
      </w:r>
      <w:r w:rsidR="00AA3725">
        <w:fldChar w:fldCharType="end"/>
      </w:r>
      <w:r w:rsidRPr="00C40532">
        <w:rPr>
          <w:rFonts w:ascii="Times New Roman" w:hAnsi="Times New Roman" w:cs="Times New Roman"/>
          <w:color w:val="252525"/>
          <w:sz w:val="24"/>
          <w:szCs w:val="24"/>
          <w:lang w:val="en-US"/>
        </w:rPr>
        <w:t>,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"https://en.wikipedia.org/wiki/Office_of_Management_and_Budget" \o "Office of Management and Budget"</w:instrText>
      </w:r>
      <w:r w:rsidR="00AA3725">
        <w:fldChar w:fldCharType="separate"/>
      </w:r>
      <w:r w:rsidRPr="00C40532">
        <w:rPr>
          <w:rStyle w:val="a5"/>
          <w:rFonts w:ascii="Times New Roman" w:hAnsi="Times New Roman" w:cs="Times New Roman"/>
          <w:color w:val="0B0080"/>
          <w:sz w:val="24"/>
          <w:szCs w:val="24"/>
          <w:lang w:val="en-US"/>
        </w:rPr>
        <w:t>Office of Management and Budget</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(OMB) and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"https://en.wikipedia.org/wiki/U.S._Treasury_Department" \o "U.S. Treasury Department"</w:instrText>
      </w:r>
      <w:r w:rsidR="00AA3725">
        <w:fldChar w:fldCharType="separate"/>
      </w:r>
      <w:r w:rsidRPr="00C40532">
        <w:rPr>
          <w:rStyle w:val="a5"/>
          <w:rFonts w:ascii="Times New Roman" w:hAnsi="Times New Roman" w:cs="Times New Roman"/>
          <w:color w:val="0B0080"/>
          <w:sz w:val="24"/>
          <w:szCs w:val="24"/>
          <w:lang w:val="en-US"/>
        </w:rPr>
        <w:t>U.S. Treasury Department</w:t>
      </w:r>
      <w:r w:rsidR="00AA3725">
        <w:fldChar w:fldCharType="end"/>
      </w:r>
      <w:r w:rsidRPr="00C40532">
        <w:rPr>
          <w:rFonts w:ascii="Times New Roman" w:hAnsi="Times New Roman" w:cs="Times New Roman"/>
          <w:color w:val="252525"/>
          <w:sz w:val="24"/>
          <w:szCs w:val="24"/>
          <w:lang w:val="en-US"/>
        </w:rPr>
        <w:t>. These agencies have reported that the federal government is facing a series of important long-run financing challenges, primarily driven by an aging population, rising interest payments, and spending for healthcare programs such as</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"https://en.wikipedia.org/wiki/Medicare_(United_States)" \o "Medicare (United States)"</w:instrText>
      </w:r>
      <w:r w:rsidR="00AA3725">
        <w:fldChar w:fldCharType="separate"/>
      </w:r>
      <w:r w:rsidRPr="00C40532">
        <w:rPr>
          <w:rStyle w:val="a5"/>
          <w:rFonts w:ascii="Times New Roman" w:hAnsi="Times New Roman" w:cs="Times New Roman"/>
          <w:color w:val="0B0080"/>
          <w:sz w:val="24"/>
          <w:szCs w:val="24"/>
          <w:lang w:val="en-US"/>
        </w:rPr>
        <w:t>Medicare</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and</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"https://en.wikipedia.org/wiki/Medicaid" \o "Medicaid"</w:instrText>
      </w:r>
      <w:r w:rsidR="00AA3725">
        <w:fldChar w:fldCharType="separate"/>
      </w:r>
      <w:r w:rsidRPr="00C40532">
        <w:rPr>
          <w:rStyle w:val="a5"/>
          <w:rFonts w:ascii="Times New Roman" w:hAnsi="Times New Roman" w:cs="Times New Roman"/>
          <w:color w:val="0B0080"/>
          <w:sz w:val="24"/>
          <w:szCs w:val="24"/>
          <w:lang w:val="en-US"/>
        </w:rPr>
        <w:t>Medicaid</w:t>
      </w:r>
      <w:r w:rsidR="00AA3725">
        <w:fldChar w:fldCharType="end"/>
      </w:r>
      <w:r w:rsidRPr="00C40532">
        <w:rPr>
          <w:rFonts w:ascii="Times New Roman" w:hAnsi="Times New Roman" w:cs="Times New Roman"/>
          <w:color w:val="252525"/>
          <w:sz w:val="24"/>
          <w:szCs w:val="24"/>
          <w:lang w:val="en-US"/>
        </w:rPr>
        <w:t xml:space="preserve">. </w:t>
      </w: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During fiscal year 2015, the Federal government received approximately $3.25 trillion in tax and fee revenue and had outlays (spending) of $3.7 trillion; the difference was a $440 billion</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"https://en.wikipedia.org/wiki/Government_budget_balance" \o "Government budget balance"</w:instrText>
      </w:r>
      <w:r w:rsidR="00AA3725">
        <w:fldChar w:fldCharType="separate"/>
      </w:r>
      <w:r w:rsidRPr="00C40532">
        <w:rPr>
          <w:rStyle w:val="a5"/>
          <w:rFonts w:ascii="Times New Roman" w:hAnsi="Times New Roman" w:cs="Times New Roman"/>
          <w:color w:val="0B0080"/>
          <w:sz w:val="24"/>
          <w:szCs w:val="24"/>
          <w:lang w:val="en-US"/>
        </w:rPr>
        <w:t>deficit</w:t>
      </w:r>
      <w:r w:rsidR="00AA3725">
        <w:fldChar w:fldCharType="end"/>
      </w:r>
      <w:r w:rsidRPr="00C40532">
        <w:rPr>
          <w:rFonts w:ascii="Times New Roman" w:hAnsi="Times New Roman" w:cs="Times New Roman"/>
          <w:color w:val="252525"/>
          <w:sz w:val="24"/>
          <w:szCs w:val="24"/>
          <w:lang w:val="en-US"/>
        </w:rPr>
        <w:t>. Measured as a percentage of</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"https://en.wikipedia.org/wiki/Gross_domestic_product" \o "Gross domestic product"</w:instrText>
      </w:r>
      <w:r w:rsidR="00AA3725">
        <w:fldChar w:fldCharType="separate"/>
      </w:r>
      <w:r w:rsidRPr="00C40532">
        <w:rPr>
          <w:rStyle w:val="a5"/>
          <w:rFonts w:ascii="Times New Roman" w:hAnsi="Times New Roman" w:cs="Times New Roman"/>
          <w:color w:val="0B0080"/>
          <w:sz w:val="24"/>
          <w:szCs w:val="24"/>
          <w:lang w:val="en-US"/>
        </w:rPr>
        <w:t>gross domestic product</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(a measure of the size of the economy), revenues were 18.2% GDP, well above the historical average (1980-2015) of 17.4% GDP. Outlays of 20.7% GDP were slightly above the average of 20.6% GDP. The deficit of 2.5% GDP was below the 3.2% GDP historical average. After a significant increase primarily due to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"https://en.wikipedia.org/wiki/Great_Recession" \o "Great Recession"</w:instrText>
      </w:r>
      <w:r w:rsidR="00AA3725">
        <w:fldChar w:fldCharType="separate"/>
      </w:r>
      <w:r w:rsidRPr="00C40532">
        <w:rPr>
          <w:rStyle w:val="a5"/>
          <w:rFonts w:ascii="Times New Roman" w:hAnsi="Times New Roman" w:cs="Times New Roman"/>
          <w:color w:val="0B0080"/>
          <w:sz w:val="24"/>
          <w:szCs w:val="24"/>
          <w:lang w:val="en-US"/>
        </w:rPr>
        <w:t>Great Recession</w:t>
      </w:r>
      <w:r w:rsidR="00AA3725">
        <w:fldChar w:fldCharType="end"/>
      </w:r>
      <w:r w:rsidRPr="00C40532">
        <w:rPr>
          <w:rFonts w:ascii="Times New Roman" w:hAnsi="Times New Roman" w:cs="Times New Roman"/>
          <w:color w:val="252525"/>
          <w:sz w:val="24"/>
          <w:szCs w:val="24"/>
          <w:lang w:val="en-US"/>
        </w:rPr>
        <w:t>, the annual deficit returned to its historical average in fiscal year 2014 and is projected to remain around that level until 2019 before slowly rising.</w:t>
      </w: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President</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"https://en.wikipedia.org/wiki/Donald_Trump" \o "Donald Trump"</w:instrText>
      </w:r>
      <w:r w:rsidR="00AA3725">
        <w:fldChar w:fldCharType="separate"/>
      </w:r>
      <w:r w:rsidRPr="00C40532">
        <w:rPr>
          <w:rStyle w:val="a5"/>
          <w:rFonts w:ascii="Times New Roman" w:hAnsi="Times New Roman" w:cs="Times New Roman"/>
          <w:color w:val="0B0080"/>
          <w:sz w:val="24"/>
          <w:szCs w:val="24"/>
          <w:lang w:val="en-US"/>
        </w:rPr>
        <w:t>Donald Trump</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has proposed</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"https://en.wikipedia.org/wiki/Political_positions_of_Donald_Trump" \o "Political positions of Donald Trump"</w:instrText>
      </w:r>
      <w:r w:rsidR="00AA3725">
        <w:fldChar w:fldCharType="separate"/>
      </w:r>
      <w:r w:rsidRPr="00C40532">
        <w:rPr>
          <w:rStyle w:val="a5"/>
          <w:rFonts w:ascii="Times New Roman" w:hAnsi="Times New Roman" w:cs="Times New Roman"/>
          <w:color w:val="0B0080"/>
          <w:sz w:val="24"/>
          <w:szCs w:val="24"/>
          <w:lang w:val="en-US"/>
        </w:rPr>
        <w:t>policies</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including significant tax cuts and increased spending on defense and infrastructure.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"https://en.wikipedia.org/wiki/Committee_for_a_Responsible_Federal_Budget" \o "Committee for a Responsible Federal Budget"</w:instrText>
      </w:r>
      <w:r w:rsidR="00AA3725">
        <w:fldChar w:fldCharType="separate"/>
      </w:r>
      <w:r w:rsidRPr="00C40532">
        <w:rPr>
          <w:rStyle w:val="a5"/>
          <w:rFonts w:ascii="Times New Roman" w:hAnsi="Times New Roman" w:cs="Times New Roman"/>
          <w:color w:val="0B0080"/>
          <w:sz w:val="24"/>
          <w:szCs w:val="24"/>
          <w:lang w:val="en-US"/>
        </w:rPr>
        <w:t>Committee for a Responsible Federal Budget</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and</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"https://en.wikipedia.org/wiki/Moody%27s_Analytics" \o "Moody's Analytics"</w:instrText>
      </w:r>
      <w:r w:rsidR="00AA3725">
        <w:fldChar w:fldCharType="separate"/>
      </w:r>
      <w:r w:rsidRPr="00C40532">
        <w:rPr>
          <w:rStyle w:val="a5"/>
          <w:rFonts w:ascii="Times New Roman" w:hAnsi="Times New Roman" w:cs="Times New Roman"/>
          <w:color w:val="0B0080"/>
          <w:sz w:val="24"/>
          <w:szCs w:val="24"/>
          <w:lang w:val="en-US"/>
        </w:rPr>
        <w:t>Moody's Analytics</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reported in 2016 that enacting these policies would dramatically increase the annual budget deficits and national debt over the 2017-2026 periods, relative to the current policy baseline, which already includes a sizable debt increase.</w:t>
      </w:r>
    </w:p>
    <w:p w:rsidR="00472A60" w:rsidRPr="00C40532" w:rsidRDefault="00472A60" w:rsidP="00472A60">
      <w:pPr>
        <w:spacing w:after="0" w:line="240" w:lineRule="auto"/>
        <w:ind w:firstLine="708"/>
        <w:jc w:val="both"/>
        <w:rPr>
          <w:rStyle w:val="mw-headline"/>
          <w:rFonts w:ascii="Times New Roman" w:hAnsi="Times New Roman" w:cs="Times New Roman"/>
          <w:b/>
          <w:bCs/>
          <w:color w:val="000000"/>
          <w:sz w:val="24"/>
          <w:szCs w:val="24"/>
          <w:lang w:val="en-US"/>
        </w:rPr>
      </w:pPr>
      <w:r w:rsidRPr="00C40532">
        <w:rPr>
          <w:rStyle w:val="mw-headline"/>
          <w:rFonts w:ascii="Times New Roman" w:hAnsi="Times New Roman" w:cs="Times New Roman"/>
          <w:b/>
          <w:bCs/>
          <w:color w:val="000000"/>
          <w:sz w:val="24"/>
          <w:szCs w:val="24"/>
          <w:lang w:val="en-US"/>
        </w:rPr>
        <w:t>Budget principles</w:t>
      </w: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"https://en.wikipedia.org/wiki/U.S._Constitution" \o "U.S. Constitution"</w:instrText>
      </w:r>
      <w:r w:rsidR="00AA3725">
        <w:fldChar w:fldCharType="separate"/>
      </w:r>
      <w:r w:rsidRPr="00C40532">
        <w:rPr>
          <w:rStyle w:val="a5"/>
          <w:rFonts w:ascii="Times New Roman" w:hAnsi="Times New Roman" w:cs="Times New Roman"/>
          <w:color w:val="0B0080"/>
          <w:sz w:val="24"/>
          <w:szCs w:val="24"/>
          <w:lang w:val="en-US"/>
        </w:rPr>
        <w:t>U.S. Constitution</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w:t>
      </w:r>
      <w:r w:rsidR="00AA3725">
        <w:fldChar w:fldCharType="begin"/>
      </w:r>
      <w:r w:rsidR="00AA3725" w:rsidRPr="003E0431">
        <w:rPr>
          <w:lang w:val="en-US"/>
        </w:rPr>
        <w:instrText>HYPERLINK "https://en.wikipedia.org/wiki/Article_One_of_the_United_States_Constitution" \o "Article One of the United States Constitution"</w:instrText>
      </w:r>
      <w:r w:rsidR="00AA3725">
        <w:fldChar w:fldCharType="separate"/>
      </w:r>
      <w:r w:rsidRPr="00C40532">
        <w:rPr>
          <w:rStyle w:val="a5"/>
          <w:rFonts w:ascii="Times New Roman" w:hAnsi="Times New Roman" w:cs="Times New Roman"/>
          <w:color w:val="0B0080"/>
          <w:sz w:val="24"/>
          <w:szCs w:val="24"/>
          <w:lang w:val="en-US"/>
        </w:rPr>
        <w:t>Article I</w:t>
      </w:r>
      <w:r w:rsidR="00AA3725">
        <w:fldChar w:fldCharType="end"/>
      </w:r>
      <w:r w:rsidRPr="00C40532">
        <w:rPr>
          <w:rFonts w:ascii="Times New Roman" w:hAnsi="Times New Roman" w:cs="Times New Roman"/>
          <w:color w:val="252525"/>
          <w:sz w:val="24"/>
          <w:szCs w:val="24"/>
          <w:lang w:val="en-US"/>
        </w:rPr>
        <w:t>, section 9, clause 7) states that "No money shall be drawn from the Treasury, but in Consequence of Appropriations made by Law; and a regular Statement and Account of Receipts and Expenditures of all public Money shall be published from time to time."</w:t>
      </w: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Each year, the President of the United States submits a budget request to Congress for the following fiscal year as required by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"https://en.wikipedia.org/wiki/Budget_and_Accounting_Act_of_1921" \o "Budget and Accounting Act of 1921"</w:instrText>
      </w:r>
      <w:r w:rsidR="00AA3725">
        <w:fldChar w:fldCharType="separate"/>
      </w:r>
      <w:r w:rsidRPr="00C40532">
        <w:rPr>
          <w:rStyle w:val="a5"/>
          <w:rFonts w:ascii="Times New Roman" w:hAnsi="Times New Roman" w:cs="Times New Roman"/>
          <w:color w:val="0B0080"/>
          <w:sz w:val="24"/>
          <w:szCs w:val="24"/>
          <w:lang w:val="en-US"/>
        </w:rPr>
        <w:t>Budget and Accounting Act of 1921</w:t>
      </w:r>
      <w:r w:rsidR="00AA3725">
        <w:fldChar w:fldCharType="end"/>
      </w:r>
      <w:r w:rsidRPr="00C40532">
        <w:rPr>
          <w:rFonts w:ascii="Times New Roman" w:hAnsi="Times New Roman" w:cs="Times New Roman"/>
          <w:color w:val="252525"/>
          <w:sz w:val="24"/>
          <w:szCs w:val="24"/>
          <w:lang w:val="en-US"/>
        </w:rPr>
        <w:t>. Current law (</w:t>
      </w:r>
      <w:r w:rsidR="00AA3725">
        <w:fldChar w:fldCharType="begin"/>
      </w:r>
      <w:r w:rsidR="00AA3725" w:rsidRPr="003E0431">
        <w:rPr>
          <w:lang w:val="en-US"/>
        </w:rPr>
        <w:instrText>HYPERLINK "https://en.wikipedia.org/wiki/Title_31_of_the_United_States_Code" \o "Title 31 of the United States Code"</w:instrText>
      </w:r>
      <w:r w:rsidR="00AA3725">
        <w:fldChar w:fldCharType="separate"/>
      </w:r>
      <w:r w:rsidRPr="00C40532">
        <w:rPr>
          <w:rStyle w:val="a5"/>
          <w:rFonts w:ascii="Times New Roman" w:hAnsi="Times New Roman" w:cs="Times New Roman"/>
          <w:color w:val="0B0080"/>
          <w:sz w:val="24"/>
          <w:szCs w:val="24"/>
          <w:lang w:val="en-US"/>
        </w:rPr>
        <w:t>31 U.S.C.</w:t>
      </w:r>
      <w:r w:rsidR="00AA3725">
        <w:fldChar w:fldCharType="end"/>
      </w:r>
      <w:r w:rsidRPr="00C40532">
        <w:rPr>
          <w:rFonts w:ascii="Times New Roman" w:hAnsi="Times New Roman" w:cs="Times New Roman"/>
          <w:color w:val="252525"/>
          <w:sz w:val="24"/>
          <w:szCs w:val="24"/>
          <w:lang w:val="en-US"/>
        </w:rPr>
        <w:t> </w:t>
      </w:r>
      <w:r w:rsidR="00AA3725">
        <w:fldChar w:fldCharType="begin"/>
      </w:r>
      <w:r w:rsidR="00AA3725" w:rsidRPr="003E0431">
        <w:rPr>
          <w:lang w:val="en-US"/>
        </w:rPr>
        <w:instrText>HYPERLINK "https://www.law.cornell.edu/uscode/text/31/1105"</w:instrText>
      </w:r>
      <w:r w:rsidR="00AA3725">
        <w:fldChar w:fldCharType="separate"/>
      </w:r>
      <w:r w:rsidRPr="00C40532">
        <w:rPr>
          <w:rStyle w:val="a5"/>
          <w:rFonts w:ascii="Times New Roman" w:hAnsi="Times New Roman" w:cs="Times New Roman"/>
          <w:color w:val="663366"/>
          <w:sz w:val="24"/>
          <w:szCs w:val="24"/>
          <w:lang w:val="en-US"/>
        </w:rPr>
        <w:t>§ 1105</w:t>
      </w:r>
      <w:r w:rsidR="00AA3725">
        <w:fldChar w:fldCharType="end"/>
      </w:r>
      <w:r w:rsidRPr="00C40532">
        <w:rPr>
          <w:rFonts w:ascii="Times New Roman" w:hAnsi="Times New Roman" w:cs="Times New Roman"/>
          <w:color w:val="252525"/>
          <w:sz w:val="24"/>
          <w:szCs w:val="24"/>
          <w:lang w:val="en-US"/>
        </w:rPr>
        <w:t>(a)) requires the president to submit a budget no earlier than the first Monday in January, and no later than the first Monday in February. Typically, presidents submit budgets on the first Monday in February. The budget submission has been delayed, however, in some new presidents' first year when the previous president belonged to a different party.</w:t>
      </w: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The federal budget is calculated largely on a cash basis. That is, revenues and outlays are recognized when transactions are made. Therefore, the full long-term costs of entitlement programs such as Medicare, Social Security, and the federal portion of Medicaid are not reflected in the federal budget. By contrast, many businesses and some other national governments have adopted forms of accrual accounting, which recognizes obligations and revenues when they are incurred. The costs of some federal credit and loan programs, according to provisions of the Federal Credit Reform Act of 1990, are calculated on a</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"https://en.wikipedia.org/wiki/Net_present_value" \o "Net present value"</w:instrText>
      </w:r>
      <w:r w:rsidR="00AA3725">
        <w:fldChar w:fldCharType="separate"/>
      </w:r>
      <w:r w:rsidRPr="00C40532">
        <w:rPr>
          <w:rStyle w:val="a5"/>
          <w:rFonts w:ascii="Times New Roman" w:hAnsi="Times New Roman" w:cs="Times New Roman"/>
          <w:color w:val="0B0080"/>
          <w:sz w:val="24"/>
          <w:szCs w:val="24"/>
          <w:lang w:val="en-US"/>
        </w:rPr>
        <w:t>net present value</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basis.</w:t>
      </w: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Federal agencies cannot spend money unless funds are authorized and appropriated. Typically, separate Congressional committees have jurisdiction over</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"https://en.wikipedia.org/wiki/Authorization_bill" \o "Authorization bill"</w:instrText>
      </w:r>
      <w:r w:rsidR="00AA3725">
        <w:fldChar w:fldCharType="separate"/>
      </w:r>
      <w:r w:rsidRPr="00C40532">
        <w:rPr>
          <w:rStyle w:val="a5"/>
          <w:rFonts w:ascii="Times New Roman" w:hAnsi="Times New Roman" w:cs="Times New Roman"/>
          <w:color w:val="0B0080"/>
          <w:sz w:val="24"/>
          <w:szCs w:val="24"/>
          <w:lang w:val="en-US"/>
        </w:rPr>
        <w:t>authorization</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and appropriations. The House and Senate Appropriations Committees currently have 12 subcommittees, which are responsible for drafting the 12 regular appropriations bills that determine amounts of discretionary spending for various federal programs. Appropriations bills must pass both the House and Senate and then be signed by the president in order to give federal agencies the legal budget authority to spend.</w:t>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In many recent years, regular appropriations bills have been combined into "omnibus" bills.</w:t>
      </w:r>
    </w:p>
    <w:p w:rsidR="00472A60" w:rsidRPr="00C40532" w:rsidRDefault="00472A60" w:rsidP="00472A60">
      <w:pPr>
        <w:spacing w:after="0" w:line="240" w:lineRule="auto"/>
        <w:ind w:firstLine="708"/>
        <w:jc w:val="both"/>
        <w:rPr>
          <w:rFonts w:ascii="Times New Roman" w:hAnsi="Times New Roman" w:cs="Times New Roman"/>
          <w:color w:val="252525"/>
          <w:sz w:val="24"/>
          <w:szCs w:val="24"/>
          <w:lang w:val="en-US"/>
        </w:rPr>
      </w:pPr>
      <w:r w:rsidRPr="00C40532">
        <w:rPr>
          <w:rFonts w:ascii="Times New Roman" w:hAnsi="Times New Roman" w:cs="Times New Roman"/>
          <w:color w:val="252525"/>
          <w:sz w:val="24"/>
          <w:szCs w:val="24"/>
          <w:lang w:val="en-US"/>
        </w:rPr>
        <w:t xml:space="preserve">Congress may also pass "special" or "emergency" appropriations. Spending that is deemed an "emergency" is exempt from certain Congressional budget enforcement rules. Funds for disaster </w:t>
      </w:r>
      <w:r w:rsidRPr="00C40532">
        <w:rPr>
          <w:rFonts w:ascii="Times New Roman" w:hAnsi="Times New Roman" w:cs="Times New Roman"/>
          <w:color w:val="252525"/>
          <w:sz w:val="24"/>
          <w:szCs w:val="24"/>
          <w:lang w:val="en-US"/>
        </w:rPr>
        <w:lastRenderedPageBreak/>
        <w:t>relief have sometimes come from supplemental appropriations, such as after</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"https://en.wikipedia.org/wiki/Hurricane_Katrina" \o "Hurricane Katrina"</w:instrText>
      </w:r>
      <w:r w:rsidR="00AA3725">
        <w:fldChar w:fldCharType="separate"/>
      </w:r>
      <w:r w:rsidRPr="00C40532">
        <w:rPr>
          <w:rStyle w:val="a5"/>
          <w:rFonts w:ascii="Times New Roman" w:hAnsi="Times New Roman" w:cs="Times New Roman"/>
          <w:color w:val="0B0080"/>
          <w:sz w:val="24"/>
          <w:szCs w:val="24"/>
          <w:lang w:val="en-US"/>
        </w:rPr>
        <w:t>Hurricane Katrina</w:t>
      </w:r>
      <w:r w:rsidR="00AA3725">
        <w:fldChar w:fldCharType="end"/>
      </w:r>
      <w:r w:rsidRPr="00C40532">
        <w:rPr>
          <w:rFonts w:ascii="Times New Roman" w:hAnsi="Times New Roman" w:cs="Times New Roman"/>
          <w:color w:val="252525"/>
          <w:sz w:val="24"/>
          <w:szCs w:val="24"/>
          <w:lang w:val="en-US"/>
        </w:rPr>
        <w:t>. In other cases, funds included in emergency supplemental appropriations bills support activities not obviously related to actual emergencies, such as parts of the</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"https://en.wikipedia.org/wiki/United_States_Census,_2000" \o "United States Census, 2000"</w:instrText>
      </w:r>
      <w:r w:rsidR="00AA3725">
        <w:fldChar w:fldCharType="separate"/>
      </w:r>
      <w:r w:rsidRPr="00C40532">
        <w:rPr>
          <w:rStyle w:val="a5"/>
          <w:rFonts w:ascii="Times New Roman" w:hAnsi="Times New Roman" w:cs="Times New Roman"/>
          <w:color w:val="0B0080"/>
          <w:sz w:val="24"/>
          <w:szCs w:val="24"/>
          <w:lang w:val="en-US"/>
        </w:rPr>
        <w:t>2000 Census of Population and Housing</w:t>
      </w:r>
      <w:r w:rsidR="00AA3725">
        <w:fldChar w:fldCharType="end"/>
      </w:r>
      <w:r w:rsidRPr="00C40532">
        <w:rPr>
          <w:rFonts w:ascii="Times New Roman" w:hAnsi="Times New Roman" w:cs="Times New Roman"/>
          <w:color w:val="252525"/>
          <w:sz w:val="24"/>
          <w:szCs w:val="24"/>
          <w:lang w:val="en-US"/>
        </w:rPr>
        <w:t>. Special appropriations have been used to fund most of the costs of war and occupation in</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"https://en.wikipedia.org/wiki/Iraq_war" \o "Iraq war"</w:instrText>
      </w:r>
      <w:r w:rsidR="00AA3725">
        <w:fldChar w:fldCharType="separate"/>
      </w:r>
      <w:r w:rsidRPr="00C40532">
        <w:rPr>
          <w:rStyle w:val="a5"/>
          <w:rFonts w:ascii="Times New Roman" w:hAnsi="Times New Roman" w:cs="Times New Roman"/>
          <w:color w:val="0B0080"/>
          <w:sz w:val="24"/>
          <w:szCs w:val="24"/>
          <w:lang w:val="en-US"/>
        </w:rPr>
        <w:t>Iraq</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and</w:t>
      </w:r>
      <w:r w:rsidRPr="00C40532">
        <w:rPr>
          <w:rStyle w:val="apple-converted-space"/>
          <w:rFonts w:ascii="Times New Roman" w:hAnsi="Times New Roman" w:cs="Times New Roman"/>
          <w:color w:val="252525"/>
          <w:sz w:val="24"/>
          <w:szCs w:val="24"/>
          <w:lang w:val="en-US"/>
        </w:rPr>
        <w:t> </w:t>
      </w:r>
      <w:r w:rsidR="00AA3725">
        <w:fldChar w:fldCharType="begin"/>
      </w:r>
      <w:r w:rsidR="00AA3725" w:rsidRPr="003E0431">
        <w:rPr>
          <w:lang w:val="en-US"/>
        </w:rPr>
        <w:instrText>HYPERLINK "https://en.wikipedia.org/wiki/War_in_Afghanistan_(2001%E2%80%93present)" \o "War in Afghanistan (2001–present)"</w:instrText>
      </w:r>
      <w:r w:rsidR="00AA3725">
        <w:fldChar w:fldCharType="separate"/>
      </w:r>
      <w:r w:rsidRPr="00C40532">
        <w:rPr>
          <w:rStyle w:val="a5"/>
          <w:rFonts w:ascii="Times New Roman" w:hAnsi="Times New Roman" w:cs="Times New Roman"/>
          <w:color w:val="0B0080"/>
          <w:sz w:val="24"/>
          <w:szCs w:val="24"/>
          <w:lang w:val="en-US"/>
        </w:rPr>
        <w:t>Afghanistan</w:t>
      </w:r>
      <w:r w:rsidR="00AA3725">
        <w:fldChar w:fldCharType="end"/>
      </w:r>
      <w:r w:rsidRPr="00C40532">
        <w:rPr>
          <w:rStyle w:val="apple-converted-space"/>
          <w:rFonts w:ascii="Times New Roman" w:hAnsi="Times New Roman" w:cs="Times New Roman"/>
          <w:color w:val="252525"/>
          <w:sz w:val="24"/>
          <w:szCs w:val="24"/>
          <w:lang w:val="en-US"/>
        </w:rPr>
        <w:t> </w:t>
      </w:r>
      <w:r w:rsidRPr="00C40532">
        <w:rPr>
          <w:rFonts w:ascii="Times New Roman" w:hAnsi="Times New Roman" w:cs="Times New Roman"/>
          <w:color w:val="252525"/>
          <w:sz w:val="24"/>
          <w:szCs w:val="24"/>
          <w:lang w:val="en-US"/>
        </w:rPr>
        <w:t>so far.</w:t>
      </w:r>
    </w:p>
    <w:p w:rsidR="00472A60" w:rsidRPr="00C40532" w:rsidRDefault="00472A60" w:rsidP="00472A60">
      <w:pPr>
        <w:spacing w:after="0" w:line="240" w:lineRule="auto"/>
        <w:ind w:firstLine="708"/>
        <w:jc w:val="both"/>
        <w:rPr>
          <w:rFonts w:ascii="Times New Roman" w:hAnsi="Times New Roman" w:cs="Times New Roman"/>
          <w:b/>
          <w:sz w:val="24"/>
          <w:szCs w:val="24"/>
          <w:lang w:val="en-US"/>
        </w:rPr>
      </w:pPr>
      <w:r w:rsidRPr="00C40532">
        <w:rPr>
          <w:rFonts w:ascii="Times New Roman" w:hAnsi="Times New Roman" w:cs="Times New Roman"/>
          <w:color w:val="252525"/>
          <w:sz w:val="24"/>
          <w:szCs w:val="24"/>
          <w:lang w:val="en-US"/>
        </w:rPr>
        <w:t>Budget resolutions and appropriations bills, which reflect spending priorities of Congress, will usually differ from funding levels in the president's budget. The president, however, retains substantial influence over the budget process through veto power and through congressional allies when the president's party has a majority in Congress.</w:t>
      </w:r>
    </w:p>
    <w:p w:rsidR="00472A60" w:rsidRPr="00C40532" w:rsidRDefault="00472A60" w:rsidP="00472A60">
      <w:pPr>
        <w:spacing w:after="0" w:line="240" w:lineRule="auto"/>
        <w:jc w:val="both"/>
        <w:rPr>
          <w:rFonts w:ascii="Times New Roman" w:hAnsi="Times New Roman" w:cs="Times New Roman"/>
          <w:b/>
          <w:sz w:val="24"/>
          <w:szCs w:val="24"/>
          <w:lang w:val="en-US"/>
        </w:rPr>
      </w:pPr>
    </w:p>
    <w:p w:rsidR="00472A60" w:rsidRPr="00C40532" w:rsidRDefault="00472A60" w:rsidP="00472A60">
      <w:pPr>
        <w:pStyle w:val="2"/>
        <w:pBdr>
          <w:bottom w:val="single" w:sz="6" w:space="0" w:color="A2A9B1"/>
        </w:pBdr>
        <w:shd w:val="clear" w:color="auto" w:fill="FFFFFF"/>
        <w:spacing w:before="0" w:beforeAutospacing="0" w:after="0" w:afterAutospacing="0"/>
        <w:ind w:firstLine="708"/>
        <w:jc w:val="both"/>
        <w:rPr>
          <w:sz w:val="24"/>
          <w:szCs w:val="24"/>
          <w:lang w:val="en-US"/>
        </w:rPr>
      </w:pPr>
      <w:r w:rsidRPr="00C40532">
        <w:rPr>
          <w:rStyle w:val="hps"/>
          <w:sz w:val="24"/>
          <w:szCs w:val="24"/>
          <w:lang w:val="en-US"/>
        </w:rPr>
        <w:t>4. The federal budget</w:t>
      </w:r>
      <w:r w:rsidRPr="00C40532">
        <w:rPr>
          <w:sz w:val="24"/>
          <w:szCs w:val="24"/>
          <w:lang w:val="en-US"/>
        </w:rPr>
        <w:t>.</w:t>
      </w:r>
    </w:p>
    <w:p w:rsidR="00472A60" w:rsidRPr="00C40532" w:rsidRDefault="00472A60" w:rsidP="00472A60">
      <w:pPr>
        <w:pStyle w:val="2"/>
        <w:pBdr>
          <w:bottom w:val="single" w:sz="6" w:space="0" w:color="A2A9B1"/>
        </w:pBdr>
        <w:shd w:val="clear" w:color="auto" w:fill="FFFFFF"/>
        <w:spacing w:before="0" w:beforeAutospacing="0" w:after="0" w:afterAutospacing="0"/>
        <w:ind w:left="708"/>
        <w:jc w:val="both"/>
        <w:rPr>
          <w:bCs w:val="0"/>
          <w:color w:val="000000"/>
          <w:sz w:val="24"/>
          <w:szCs w:val="24"/>
          <w:lang w:val="en-US"/>
        </w:rPr>
      </w:pPr>
      <w:r w:rsidRPr="00C40532">
        <w:rPr>
          <w:sz w:val="24"/>
          <w:szCs w:val="24"/>
          <w:lang w:val="en-US"/>
        </w:rPr>
        <w:br/>
      </w:r>
      <w:r w:rsidRPr="00C40532">
        <w:rPr>
          <w:rStyle w:val="mw-headline"/>
          <w:bCs w:val="0"/>
          <w:color w:val="000000"/>
          <w:sz w:val="24"/>
          <w:szCs w:val="24"/>
          <w:lang w:val="en-US"/>
        </w:rPr>
        <w:t>Total revenues and spending</w:t>
      </w:r>
    </w:p>
    <w:p w:rsidR="00472A60" w:rsidRPr="00C40532" w:rsidRDefault="00472A60" w:rsidP="00472A60">
      <w:pPr>
        <w:pStyle w:val="3"/>
        <w:shd w:val="clear" w:color="auto" w:fill="FFFFFF"/>
        <w:spacing w:before="0" w:line="240" w:lineRule="auto"/>
        <w:jc w:val="both"/>
        <w:rPr>
          <w:rFonts w:ascii="Times New Roman" w:hAnsi="Times New Roman" w:cs="Times New Roman"/>
          <w:color w:val="000000"/>
          <w:sz w:val="24"/>
          <w:szCs w:val="24"/>
          <w:lang w:val="en-US"/>
        </w:rPr>
      </w:pPr>
      <w:r w:rsidRPr="00C40532">
        <w:rPr>
          <w:rStyle w:val="mw-headline"/>
          <w:rFonts w:ascii="Times New Roman" w:hAnsi="Times New Roman" w:cs="Times New Roman"/>
          <w:color w:val="000000"/>
          <w:sz w:val="24"/>
          <w:szCs w:val="24"/>
          <w:lang w:val="en-US"/>
        </w:rPr>
        <w:t>Receipts</w:t>
      </w:r>
    </w:p>
    <w:p w:rsidR="00472A60" w:rsidRPr="00C40532" w:rsidRDefault="00472A60" w:rsidP="00472A60">
      <w:pPr>
        <w:pStyle w:val="a6"/>
        <w:shd w:val="clear" w:color="auto" w:fill="FFFFFF"/>
        <w:spacing w:before="0" w:beforeAutospacing="0" w:after="0" w:afterAutospacing="0"/>
        <w:jc w:val="both"/>
        <w:rPr>
          <w:color w:val="252525"/>
          <w:lang w:val="en-US"/>
        </w:rPr>
      </w:pPr>
      <w:r w:rsidRPr="00C40532">
        <w:rPr>
          <w:i/>
          <w:iCs/>
          <w:color w:val="252525"/>
          <w:lang w:val="en-US"/>
        </w:rPr>
        <w:t>(In billions of dollars)</w:t>
      </w:r>
      <w:r w:rsidRPr="00C40532">
        <w:rPr>
          <w:color w:val="252525"/>
          <w:lang w:val="en-US"/>
        </w:rPr>
        <w:t>:</w:t>
      </w:r>
    </w:p>
    <w:tbl>
      <w:tblPr>
        <w:tblW w:w="0" w:type="auto"/>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4951"/>
        <w:gridCol w:w="1536"/>
        <w:gridCol w:w="1309"/>
        <w:gridCol w:w="1149"/>
      </w:tblGrid>
      <w:tr w:rsidR="00472A60" w:rsidRPr="00C40532" w:rsidTr="000A0C98">
        <w:trPr>
          <w:tblHeader/>
        </w:trPr>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72A60" w:rsidRPr="00C40532" w:rsidRDefault="00472A60" w:rsidP="000A0C98">
            <w:pPr>
              <w:spacing w:after="0" w:line="240" w:lineRule="auto"/>
              <w:jc w:val="both"/>
              <w:rPr>
                <w:rFonts w:ascii="Times New Roman" w:hAnsi="Times New Roman" w:cs="Times New Roman"/>
                <w:b/>
                <w:bCs/>
                <w:color w:val="000000"/>
                <w:sz w:val="24"/>
                <w:szCs w:val="24"/>
                <w:lang w:val="en-US"/>
              </w:rPr>
            </w:pPr>
            <w:r w:rsidRPr="00C40532">
              <w:rPr>
                <w:rFonts w:ascii="Times New Roman" w:hAnsi="Times New Roman" w:cs="Times New Roman"/>
                <w:b/>
                <w:bCs/>
                <w:color w:val="000000"/>
                <w:sz w:val="24"/>
                <w:szCs w:val="24"/>
                <w:lang w:val="en-US"/>
              </w:rPr>
              <w:t>Source</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72A60" w:rsidRPr="00C40532" w:rsidRDefault="00472A60" w:rsidP="000A0C98">
            <w:pPr>
              <w:spacing w:after="0" w:line="240" w:lineRule="auto"/>
              <w:jc w:val="both"/>
              <w:rPr>
                <w:rFonts w:ascii="Times New Roman" w:hAnsi="Times New Roman" w:cs="Times New Roman"/>
                <w:b/>
                <w:bCs/>
                <w:color w:val="000000"/>
                <w:sz w:val="24"/>
                <w:szCs w:val="24"/>
                <w:lang w:val="en-US"/>
              </w:rPr>
            </w:pPr>
            <w:r w:rsidRPr="00C40532">
              <w:rPr>
                <w:rFonts w:ascii="Times New Roman" w:hAnsi="Times New Roman" w:cs="Times New Roman"/>
                <w:b/>
                <w:bCs/>
                <w:color w:val="000000"/>
                <w:sz w:val="24"/>
                <w:szCs w:val="24"/>
                <w:lang w:val="en-US"/>
              </w:rPr>
              <w:t>Requested</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72A60" w:rsidRPr="00C40532" w:rsidRDefault="00472A60" w:rsidP="000A0C98">
            <w:pPr>
              <w:spacing w:after="0" w:line="240" w:lineRule="auto"/>
              <w:jc w:val="both"/>
              <w:rPr>
                <w:rFonts w:ascii="Times New Roman" w:hAnsi="Times New Roman" w:cs="Times New Roman"/>
                <w:b/>
                <w:bCs/>
                <w:color w:val="000000"/>
                <w:sz w:val="24"/>
                <w:szCs w:val="24"/>
                <w:lang w:val="en-US"/>
              </w:rPr>
            </w:pPr>
            <w:r w:rsidRPr="00C40532">
              <w:rPr>
                <w:rFonts w:ascii="Times New Roman" w:hAnsi="Times New Roman" w:cs="Times New Roman"/>
                <w:b/>
                <w:bCs/>
                <w:color w:val="000000"/>
                <w:sz w:val="24"/>
                <w:szCs w:val="24"/>
                <w:lang w:val="en-US"/>
              </w:rPr>
              <w:t>Enacted</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72A60" w:rsidRPr="00C40532" w:rsidRDefault="00472A60" w:rsidP="000A0C98">
            <w:pPr>
              <w:spacing w:after="0" w:line="240" w:lineRule="auto"/>
              <w:jc w:val="both"/>
              <w:rPr>
                <w:rFonts w:ascii="Times New Roman" w:hAnsi="Times New Roman" w:cs="Times New Roman"/>
                <w:b/>
                <w:bCs/>
                <w:color w:val="000000"/>
                <w:sz w:val="24"/>
                <w:szCs w:val="24"/>
                <w:lang w:val="en-US"/>
              </w:rPr>
            </w:pPr>
            <w:r w:rsidRPr="00C40532">
              <w:rPr>
                <w:rFonts w:ascii="Times New Roman" w:hAnsi="Times New Roman" w:cs="Times New Roman"/>
                <w:b/>
                <w:bCs/>
                <w:color w:val="000000"/>
                <w:sz w:val="24"/>
                <w:szCs w:val="24"/>
                <w:lang w:val="en-US"/>
              </w:rPr>
              <w:t>Actual</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AA3725" w:rsidP="000A0C98">
            <w:pPr>
              <w:spacing w:after="0" w:line="240" w:lineRule="auto"/>
              <w:jc w:val="both"/>
              <w:rPr>
                <w:rFonts w:ascii="Times New Roman" w:hAnsi="Times New Roman" w:cs="Times New Roman"/>
                <w:color w:val="000000"/>
                <w:sz w:val="24"/>
                <w:szCs w:val="24"/>
              </w:rPr>
            </w:pPr>
            <w:hyperlink r:id="rId21" w:tooltip="Income tax in the United States" w:history="1">
              <w:r w:rsidR="00472A60" w:rsidRPr="00C40532">
                <w:rPr>
                  <w:rStyle w:val="a5"/>
                  <w:rFonts w:ascii="Times New Roman" w:hAnsi="Times New Roman" w:cs="Times New Roman"/>
                  <w:color w:val="0B0080"/>
                  <w:sz w:val="24"/>
                  <w:szCs w:val="24"/>
                </w:rPr>
                <w:t>Individual income tax</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1,534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1,478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1,540</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AA3725" w:rsidP="000A0C98">
            <w:pPr>
              <w:spacing w:after="0" w:line="240" w:lineRule="auto"/>
              <w:jc w:val="both"/>
              <w:rPr>
                <w:rFonts w:ascii="Times New Roman" w:hAnsi="Times New Roman" w:cs="Times New Roman"/>
                <w:color w:val="000000"/>
                <w:sz w:val="24"/>
                <w:szCs w:val="24"/>
              </w:rPr>
            </w:pPr>
            <w:hyperlink r:id="rId22" w:tooltip="Corporate tax in the United States" w:history="1">
              <w:r w:rsidR="00472A60" w:rsidRPr="00C40532">
                <w:rPr>
                  <w:rStyle w:val="a5"/>
                  <w:rFonts w:ascii="Times New Roman" w:hAnsi="Times New Roman" w:cs="Times New Roman"/>
                  <w:color w:val="0B0080"/>
                  <w:sz w:val="24"/>
                  <w:szCs w:val="24"/>
                </w:rPr>
                <w:t>Corporate income tax</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449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342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344</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AA3725" w:rsidP="000A0C98">
            <w:pPr>
              <w:spacing w:after="0" w:line="240" w:lineRule="auto"/>
              <w:jc w:val="both"/>
              <w:rPr>
                <w:rFonts w:ascii="Times New Roman" w:hAnsi="Times New Roman" w:cs="Times New Roman"/>
                <w:color w:val="000000"/>
                <w:sz w:val="24"/>
                <w:szCs w:val="24"/>
                <w:lang w:val="en-US"/>
              </w:rPr>
            </w:pPr>
            <w:r>
              <w:fldChar w:fldCharType="begin"/>
            </w:r>
            <w:r w:rsidRPr="003E0431">
              <w:rPr>
                <w:lang w:val="en-US"/>
              </w:rPr>
              <w:instrText>HYPERLINK "https://en.wikipedia.org/wiki/Social_Security_(United_States)" \o "Social Security (United States)"</w:instrText>
            </w:r>
            <w:r>
              <w:fldChar w:fldCharType="separate"/>
            </w:r>
            <w:r w:rsidR="00472A60" w:rsidRPr="00C40532">
              <w:rPr>
                <w:rStyle w:val="a5"/>
                <w:rFonts w:ascii="Times New Roman" w:hAnsi="Times New Roman" w:cs="Times New Roman"/>
                <w:color w:val="0B0080"/>
                <w:sz w:val="24"/>
                <w:szCs w:val="24"/>
                <w:lang w:val="en-US"/>
              </w:rPr>
              <w:t>Social Security</w:t>
            </w:r>
            <w:r>
              <w:fldChar w:fldCharType="end"/>
            </w:r>
            <w:r w:rsidR="00472A60" w:rsidRPr="00C40532">
              <w:rPr>
                <w:rStyle w:val="apple-converted-space"/>
                <w:rFonts w:ascii="Times New Roman" w:hAnsi="Times New Roman" w:cs="Times New Roman"/>
                <w:color w:val="000000"/>
                <w:sz w:val="24"/>
                <w:szCs w:val="24"/>
                <w:lang w:val="en-US"/>
              </w:rPr>
              <w:t> </w:t>
            </w:r>
            <w:r w:rsidR="00472A60" w:rsidRPr="00C40532">
              <w:rPr>
                <w:rFonts w:ascii="Times New Roman" w:hAnsi="Times New Roman" w:cs="Times New Roman"/>
                <w:color w:val="000000"/>
                <w:sz w:val="24"/>
                <w:szCs w:val="24"/>
                <w:lang w:val="en-US"/>
              </w:rPr>
              <w:t>and other</w:t>
            </w:r>
            <w:r w:rsidR="00472A60" w:rsidRPr="00C40532">
              <w:rPr>
                <w:rStyle w:val="apple-converted-space"/>
                <w:rFonts w:ascii="Times New Roman" w:hAnsi="Times New Roman" w:cs="Times New Roman"/>
                <w:color w:val="000000"/>
                <w:sz w:val="24"/>
                <w:szCs w:val="24"/>
                <w:lang w:val="en-US"/>
              </w:rPr>
              <w:t> </w:t>
            </w:r>
            <w:r>
              <w:fldChar w:fldCharType="begin"/>
            </w:r>
            <w:r w:rsidRPr="003E0431">
              <w:rPr>
                <w:lang w:val="en-US"/>
              </w:rPr>
              <w:instrText>HYPERLINK "https://en.wikipedia.org/wiki/Payroll_tax" \o "Payroll tax"</w:instrText>
            </w:r>
            <w:r>
              <w:fldChar w:fldCharType="separate"/>
            </w:r>
            <w:r w:rsidR="00472A60" w:rsidRPr="00C40532">
              <w:rPr>
                <w:rStyle w:val="a5"/>
                <w:rFonts w:ascii="Times New Roman" w:hAnsi="Times New Roman" w:cs="Times New Roman"/>
                <w:color w:val="0B0080"/>
                <w:sz w:val="24"/>
                <w:szCs w:val="24"/>
                <w:lang w:val="en-US"/>
              </w:rPr>
              <w:t>payroll tax</w:t>
            </w:r>
            <w:r>
              <w:fldChar w:fldCharType="end"/>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1,056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1,065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1,065</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AA3725" w:rsidP="000A0C98">
            <w:pPr>
              <w:spacing w:after="0" w:line="240" w:lineRule="auto"/>
              <w:jc w:val="both"/>
              <w:rPr>
                <w:rFonts w:ascii="Times New Roman" w:hAnsi="Times New Roman" w:cs="Times New Roman"/>
                <w:color w:val="000000"/>
                <w:sz w:val="24"/>
                <w:szCs w:val="24"/>
              </w:rPr>
            </w:pPr>
            <w:hyperlink r:id="rId23" w:tooltip="Excise tax in the United States" w:history="1">
              <w:r w:rsidR="00472A60" w:rsidRPr="00C40532">
                <w:rPr>
                  <w:rStyle w:val="a5"/>
                  <w:rFonts w:ascii="Times New Roman" w:hAnsi="Times New Roman" w:cs="Times New Roman"/>
                  <w:color w:val="0B0080"/>
                  <w:sz w:val="24"/>
                  <w:szCs w:val="24"/>
                </w:rPr>
                <w:t>Excise tax</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111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98</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AA3725" w:rsidP="000A0C98">
            <w:pPr>
              <w:spacing w:after="0" w:line="240" w:lineRule="auto"/>
              <w:jc w:val="both"/>
              <w:rPr>
                <w:rFonts w:ascii="Times New Roman" w:hAnsi="Times New Roman" w:cs="Times New Roman"/>
                <w:color w:val="000000"/>
                <w:sz w:val="24"/>
                <w:szCs w:val="24"/>
              </w:rPr>
            </w:pPr>
            <w:hyperlink r:id="rId24" w:tooltip="Customs" w:history="1">
              <w:r w:rsidR="00472A60" w:rsidRPr="00C40532">
                <w:rPr>
                  <w:rStyle w:val="a5"/>
                  <w:rFonts w:ascii="Times New Roman" w:hAnsi="Times New Roman" w:cs="Times New Roman"/>
                  <w:color w:val="0B0080"/>
                  <w:sz w:val="24"/>
                  <w:szCs w:val="24"/>
                </w:rPr>
                <w:t>Customs</w:t>
              </w:r>
            </w:hyperlink>
            <w:r w:rsidR="00472A60" w:rsidRPr="00C40532">
              <w:rPr>
                <w:rStyle w:val="apple-converted-space"/>
                <w:rFonts w:ascii="Times New Roman" w:hAnsi="Times New Roman" w:cs="Times New Roman"/>
                <w:color w:val="000000"/>
                <w:sz w:val="24"/>
                <w:szCs w:val="24"/>
              </w:rPr>
              <w:t> </w:t>
            </w:r>
            <w:hyperlink r:id="rId25" w:tooltip="Duty (economics)" w:history="1">
              <w:r w:rsidR="00472A60" w:rsidRPr="00C40532">
                <w:rPr>
                  <w:rStyle w:val="a5"/>
                  <w:rFonts w:ascii="Times New Roman" w:hAnsi="Times New Roman" w:cs="Times New Roman"/>
                  <w:color w:val="0B0080"/>
                  <w:sz w:val="24"/>
                  <w:szCs w:val="24"/>
                </w:rPr>
                <w:t>duties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35</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AA3725" w:rsidP="000A0C98">
            <w:pPr>
              <w:spacing w:after="0" w:line="240" w:lineRule="auto"/>
              <w:jc w:val="both"/>
              <w:rPr>
                <w:rFonts w:ascii="Times New Roman" w:hAnsi="Times New Roman" w:cs="Times New Roman"/>
                <w:color w:val="000000"/>
                <w:sz w:val="24"/>
                <w:szCs w:val="24"/>
              </w:rPr>
            </w:pPr>
            <w:hyperlink r:id="rId26" w:tooltip="Inheritance tax" w:history="1">
              <w:r w:rsidR="00472A60" w:rsidRPr="00C40532">
                <w:rPr>
                  <w:rStyle w:val="a5"/>
                  <w:rFonts w:ascii="Times New Roman" w:hAnsi="Times New Roman" w:cs="Times New Roman"/>
                  <w:color w:val="0B0080"/>
                  <w:sz w:val="24"/>
                  <w:szCs w:val="24"/>
                </w:rPr>
                <w:t>Estate</w:t>
              </w:r>
            </w:hyperlink>
            <w:r w:rsidR="00472A60" w:rsidRPr="00C40532">
              <w:rPr>
                <w:rStyle w:val="apple-converted-space"/>
                <w:rFonts w:ascii="Times New Roman" w:hAnsi="Times New Roman" w:cs="Times New Roman"/>
                <w:color w:val="000000"/>
                <w:sz w:val="24"/>
                <w:szCs w:val="24"/>
              </w:rPr>
              <w:t> </w:t>
            </w:r>
            <w:r w:rsidR="00472A60" w:rsidRPr="00C40532">
              <w:rPr>
                <w:rFonts w:ascii="Times New Roman" w:hAnsi="Times New Roman" w:cs="Times New Roman"/>
                <w:color w:val="000000"/>
                <w:sz w:val="24"/>
                <w:szCs w:val="24"/>
              </w:rPr>
              <w:t>and</w:t>
            </w:r>
            <w:r w:rsidR="00472A60" w:rsidRPr="00C40532">
              <w:rPr>
                <w:rStyle w:val="apple-converted-space"/>
                <w:rFonts w:ascii="Times New Roman" w:hAnsi="Times New Roman" w:cs="Times New Roman"/>
                <w:color w:val="000000"/>
                <w:sz w:val="24"/>
                <w:szCs w:val="24"/>
              </w:rPr>
              <w:t> </w:t>
            </w:r>
            <w:hyperlink r:id="rId27" w:tooltip="Gift tax" w:history="1">
              <w:r w:rsidR="00472A60" w:rsidRPr="00C40532">
                <w:rPr>
                  <w:rStyle w:val="a5"/>
                  <w:rFonts w:ascii="Times New Roman" w:hAnsi="Times New Roman" w:cs="Times New Roman"/>
                  <w:color w:val="0B0080"/>
                  <w:sz w:val="24"/>
                  <w:szCs w:val="24"/>
                </w:rPr>
                <w:t>gift taxes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19</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lang w:val="en-US"/>
              </w:rPr>
            </w:pPr>
            <w:r w:rsidRPr="00C40532">
              <w:rPr>
                <w:rFonts w:ascii="Times New Roman" w:hAnsi="Times New Roman" w:cs="Times New Roman"/>
                <w:color w:val="000000"/>
                <w:sz w:val="24"/>
                <w:szCs w:val="24"/>
                <w:lang w:val="en-US"/>
              </w:rPr>
              <w:t>Deposits of earnings and</w:t>
            </w:r>
            <w:r w:rsidRPr="00C40532">
              <w:rPr>
                <w:rStyle w:val="apple-converted-space"/>
                <w:rFonts w:ascii="Times New Roman" w:hAnsi="Times New Roman" w:cs="Times New Roman"/>
                <w:color w:val="000000"/>
                <w:sz w:val="24"/>
                <w:szCs w:val="24"/>
                <w:lang w:val="en-US"/>
              </w:rPr>
              <w:t> </w:t>
            </w:r>
            <w:r w:rsidR="00AA3725">
              <w:fldChar w:fldCharType="begin"/>
            </w:r>
            <w:r w:rsidR="00AA3725" w:rsidRPr="003E0431">
              <w:rPr>
                <w:lang w:val="en-US"/>
              </w:rPr>
              <w:instrText>HYPERLINK "https://en.wikipedia.org/wiki/Federal_Reserve_System" \o "Federal Reserve System"</w:instrText>
            </w:r>
            <w:r w:rsidR="00AA3725">
              <w:fldChar w:fldCharType="separate"/>
            </w:r>
            <w:r w:rsidRPr="00C40532">
              <w:rPr>
                <w:rStyle w:val="a5"/>
                <w:rFonts w:ascii="Times New Roman" w:hAnsi="Times New Roman" w:cs="Times New Roman"/>
                <w:color w:val="0B0080"/>
                <w:sz w:val="24"/>
                <w:szCs w:val="24"/>
                <w:lang w:val="en-US"/>
              </w:rPr>
              <w:t>Federal Reserve System</w:t>
            </w:r>
            <w:r w:rsidR="00AA3725">
              <w:fldChar w:fldCharType="end"/>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88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96</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Allowance for immigration reform</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Other miscellaneous receipts</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43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45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50</w:t>
            </w:r>
          </w:p>
        </w:tc>
      </w:tr>
      <w:tr w:rsidR="00472A60" w:rsidRPr="00C40532" w:rsidTr="000A0C98">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b/>
                <w:bCs/>
                <w:color w:val="000000"/>
                <w:sz w:val="24"/>
                <w:szCs w:val="24"/>
              </w:rPr>
              <w:t>Total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b/>
                <w:bCs/>
                <w:color w:val="000000"/>
                <w:sz w:val="24"/>
                <w:szCs w:val="24"/>
              </w:rPr>
              <w:t>3,337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b/>
                <w:bCs/>
                <w:color w:val="000000"/>
                <w:sz w:val="24"/>
                <w:szCs w:val="24"/>
              </w:rPr>
              <w:t>3,176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b/>
                <w:bCs/>
                <w:color w:val="000000"/>
                <w:sz w:val="24"/>
                <w:szCs w:val="24"/>
              </w:rPr>
              <w:t>3,249</w:t>
            </w:r>
          </w:p>
        </w:tc>
      </w:tr>
    </w:tbl>
    <w:p w:rsidR="00472A60" w:rsidRPr="00C40532" w:rsidRDefault="00472A60" w:rsidP="00472A60">
      <w:pPr>
        <w:pStyle w:val="3"/>
        <w:shd w:val="clear" w:color="auto" w:fill="FFFFFF"/>
        <w:spacing w:before="0" w:line="240" w:lineRule="auto"/>
        <w:jc w:val="both"/>
        <w:rPr>
          <w:rStyle w:val="mw-headline"/>
          <w:rFonts w:ascii="Times New Roman" w:hAnsi="Times New Roman" w:cs="Times New Roman"/>
          <w:color w:val="000000"/>
          <w:sz w:val="24"/>
          <w:szCs w:val="24"/>
        </w:rPr>
      </w:pPr>
    </w:p>
    <w:p w:rsidR="00472A60" w:rsidRPr="00C40532" w:rsidRDefault="00472A60" w:rsidP="00472A60">
      <w:pPr>
        <w:pStyle w:val="3"/>
        <w:shd w:val="clear" w:color="auto" w:fill="FFFFFF"/>
        <w:spacing w:before="0" w:line="240" w:lineRule="auto"/>
        <w:jc w:val="both"/>
        <w:rPr>
          <w:rFonts w:ascii="Times New Roman" w:hAnsi="Times New Roman" w:cs="Times New Roman"/>
          <w:color w:val="000000"/>
          <w:sz w:val="24"/>
          <w:szCs w:val="24"/>
        </w:rPr>
      </w:pPr>
      <w:r w:rsidRPr="00C40532">
        <w:rPr>
          <w:rStyle w:val="mw-headline"/>
          <w:rFonts w:ascii="Times New Roman" w:hAnsi="Times New Roman" w:cs="Times New Roman"/>
          <w:color w:val="000000"/>
          <w:sz w:val="24"/>
          <w:szCs w:val="24"/>
          <w:lang w:val="en-US"/>
        </w:rPr>
        <w:t>Outlays by budget function</w:t>
      </w:r>
    </w:p>
    <w:p w:rsidR="00472A60" w:rsidRPr="00C40532" w:rsidRDefault="00472A60" w:rsidP="00472A60">
      <w:pPr>
        <w:pStyle w:val="a6"/>
        <w:shd w:val="clear" w:color="auto" w:fill="FFFFFF"/>
        <w:spacing w:before="0" w:beforeAutospacing="0" w:after="0" w:afterAutospacing="0"/>
        <w:jc w:val="both"/>
        <w:rPr>
          <w:color w:val="252525"/>
          <w:lang w:val="en-US"/>
        </w:rPr>
      </w:pPr>
      <w:r w:rsidRPr="00C40532">
        <w:rPr>
          <w:color w:val="252525"/>
          <w:lang w:val="en-US"/>
        </w:rPr>
        <w:t>These tables are in billions of dollars. A green cell represents an increase in spending, while a red one indicates a decrease in spending. Outlays represent funds actually spent in a year; budget authority includes spending authorized for this and future years.</w:t>
      </w:r>
    </w:p>
    <w:tbl>
      <w:tblPr>
        <w:tblW w:w="0" w:type="auto"/>
        <w:tblBorders>
          <w:top w:val="single" w:sz="6" w:space="0" w:color="A2A9B1"/>
          <w:left w:val="single" w:sz="6" w:space="0" w:color="A2A9B1"/>
          <w:bottom w:val="single" w:sz="6" w:space="0" w:color="A2A9B1"/>
          <w:right w:val="single" w:sz="6" w:space="0" w:color="A2A9B1"/>
        </w:tblBorders>
        <w:shd w:val="clear" w:color="auto" w:fill="F8F9FA"/>
        <w:tblLayout w:type="fixed"/>
        <w:tblCellMar>
          <w:top w:w="15" w:type="dxa"/>
          <w:left w:w="15" w:type="dxa"/>
          <w:bottom w:w="15" w:type="dxa"/>
          <w:right w:w="15" w:type="dxa"/>
        </w:tblCellMar>
        <w:tblLook w:val="04A0"/>
      </w:tblPr>
      <w:tblGrid>
        <w:gridCol w:w="1390"/>
        <w:gridCol w:w="2817"/>
        <w:gridCol w:w="1688"/>
        <w:gridCol w:w="2128"/>
        <w:gridCol w:w="1712"/>
      </w:tblGrid>
      <w:tr w:rsidR="00472A60" w:rsidRPr="00C40532" w:rsidTr="000A0C98">
        <w:trPr>
          <w:tblHeader/>
        </w:trPr>
        <w:tc>
          <w:tcPr>
            <w:tcW w:w="1390"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72A60" w:rsidRPr="00C40532" w:rsidRDefault="00472A60" w:rsidP="000A0C98">
            <w:pPr>
              <w:pStyle w:val="a6"/>
              <w:spacing w:before="0" w:beforeAutospacing="0" w:after="0" w:afterAutospacing="0"/>
              <w:jc w:val="both"/>
              <w:rPr>
                <w:b/>
                <w:bCs/>
                <w:color w:val="000000"/>
              </w:rPr>
            </w:pPr>
            <w:r w:rsidRPr="00C40532">
              <w:rPr>
                <w:b/>
                <w:bCs/>
                <w:color w:val="000000"/>
              </w:rPr>
              <w:t>Function</w:t>
            </w:r>
          </w:p>
        </w:tc>
        <w:tc>
          <w:tcPr>
            <w:tcW w:w="2817"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72A60" w:rsidRPr="00C40532" w:rsidRDefault="00472A60" w:rsidP="000A0C98">
            <w:pPr>
              <w:pStyle w:val="a6"/>
              <w:spacing w:before="0" w:beforeAutospacing="0" w:after="0" w:afterAutospacing="0"/>
              <w:jc w:val="both"/>
              <w:rPr>
                <w:b/>
                <w:bCs/>
                <w:color w:val="000000"/>
              </w:rPr>
            </w:pPr>
            <w:r w:rsidRPr="00C40532">
              <w:rPr>
                <w:b/>
                <w:bCs/>
                <w:color w:val="000000"/>
              </w:rPr>
              <w:t>Title</w:t>
            </w:r>
          </w:p>
        </w:tc>
        <w:tc>
          <w:tcPr>
            <w:tcW w:w="1688"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72A60" w:rsidRPr="00C40532" w:rsidRDefault="00472A60" w:rsidP="000A0C98">
            <w:pPr>
              <w:pStyle w:val="a6"/>
              <w:spacing w:before="0" w:beforeAutospacing="0" w:after="0" w:afterAutospacing="0"/>
              <w:jc w:val="both"/>
              <w:rPr>
                <w:b/>
                <w:bCs/>
                <w:color w:val="000000"/>
              </w:rPr>
            </w:pPr>
            <w:r w:rsidRPr="00C40532">
              <w:rPr>
                <w:b/>
                <w:bCs/>
                <w:color w:val="000000"/>
              </w:rPr>
              <w:t>2014 enacted</w:t>
            </w:r>
          </w:p>
        </w:tc>
        <w:tc>
          <w:tcPr>
            <w:tcW w:w="2128"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72A60" w:rsidRPr="00C40532" w:rsidRDefault="00472A60" w:rsidP="000A0C98">
            <w:pPr>
              <w:pStyle w:val="a6"/>
              <w:spacing w:before="0" w:beforeAutospacing="0" w:after="0" w:afterAutospacing="0"/>
              <w:jc w:val="both"/>
              <w:rPr>
                <w:b/>
                <w:bCs/>
                <w:color w:val="000000"/>
              </w:rPr>
            </w:pPr>
            <w:r w:rsidRPr="00C40532">
              <w:rPr>
                <w:b/>
                <w:bCs/>
                <w:color w:val="000000"/>
              </w:rPr>
              <w:t>2015 Presidential</w:t>
            </w:r>
            <w:r w:rsidRPr="00C40532">
              <w:rPr>
                <w:b/>
                <w:bCs/>
                <w:color w:val="000000"/>
              </w:rPr>
              <w:br/>
              <w:t>request</w:t>
            </w:r>
          </w:p>
        </w:tc>
        <w:tc>
          <w:tcPr>
            <w:tcW w:w="1712"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72A60" w:rsidRPr="00C40532" w:rsidRDefault="00472A60" w:rsidP="000A0C98">
            <w:pPr>
              <w:pStyle w:val="a6"/>
              <w:spacing w:before="0" w:beforeAutospacing="0" w:after="0" w:afterAutospacing="0"/>
              <w:jc w:val="both"/>
              <w:rPr>
                <w:b/>
                <w:bCs/>
                <w:color w:val="000000"/>
              </w:rPr>
            </w:pPr>
            <w:r w:rsidRPr="00C40532">
              <w:rPr>
                <w:b/>
                <w:bCs/>
                <w:color w:val="000000"/>
              </w:rPr>
              <w:t>2015 Republican</w:t>
            </w:r>
            <w:r w:rsidRPr="00C40532">
              <w:rPr>
                <w:b/>
                <w:bCs/>
                <w:color w:val="000000"/>
              </w:rPr>
              <w:br/>
              <w:t>proposal</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050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National Defense</w:t>
            </w:r>
          </w:p>
        </w:tc>
        <w:tc>
          <w:tcPr>
            <w:tcW w:w="1688" w:type="dxa"/>
            <w:vMerge w:val="restart"/>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620.562</w:t>
            </w:r>
          </w:p>
        </w:tc>
        <w:tc>
          <w:tcPr>
            <w:tcW w:w="2128" w:type="dxa"/>
            <w:vMerge w:val="restart"/>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631.280</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566.5</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970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Overseas Contingency Operations*</w:t>
            </w:r>
          </w:p>
        </w:tc>
        <w:tc>
          <w:tcPr>
            <w:tcW w:w="1688" w:type="dxa"/>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p>
        </w:tc>
        <w:tc>
          <w:tcPr>
            <w:tcW w:w="2128" w:type="dxa"/>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52.6</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International Affairs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48.472</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50.086</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39.0</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lang w:val="en-US"/>
              </w:rPr>
            </w:pPr>
            <w:r w:rsidRPr="00C40532">
              <w:rPr>
                <w:rFonts w:ascii="Times New Roman" w:hAnsi="Times New Roman" w:cs="Times New Roman"/>
                <w:color w:val="000000"/>
                <w:sz w:val="24"/>
                <w:szCs w:val="24"/>
                <w:lang w:val="en-US"/>
              </w:rPr>
              <w:t>General Science, Space and Technology</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28.718</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30.839</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27.9</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270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Energy</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13.375</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8.620</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5.8</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lastRenderedPageBreak/>
              <w:t>300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Natural Resources and Environment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39.102</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41.349</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39.3</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Agriculture</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22.659</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16.953</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19.5</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370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Commerce and Housing Credit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-82.283</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-31.430</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-15.8</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400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Transportation</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95.519</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97.825</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80.7</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450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Community and Regional Development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33.305</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28.865</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23.6</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lang w:val="en-US"/>
              </w:rPr>
            </w:pPr>
            <w:r w:rsidRPr="00C40532">
              <w:rPr>
                <w:rFonts w:ascii="Times New Roman" w:hAnsi="Times New Roman" w:cs="Times New Roman"/>
                <w:color w:val="000000"/>
                <w:sz w:val="24"/>
                <w:szCs w:val="24"/>
                <w:lang w:val="en-US"/>
              </w:rPr>
              <w:t>Education, Training, Employment and Social Services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100.460</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117.350</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91.8</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Health</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450.795</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512.193</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416.6</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570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Medicare</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519.027</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532.324</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519.4</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600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Income Security</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542.237</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535.963</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505.0</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650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Social Security</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857.319</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903.196</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892.0</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700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Veterans Benefits and Services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151.165</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158.524</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153.0</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750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Administration of Justice</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53.102</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55.843</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54.3</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800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General Government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22.407</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25.706</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23.6</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Net Interest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223.450</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251.871</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267.3</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920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Allowances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1.875</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29.285</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-521</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930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Government-Wide Savings**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N/A</w:t>
            </w:r>
          </w:p>
        </w:tc>
        <w:tc>
          <w:tcPr>
            <w:tcW w:w="21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N/A</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20.1</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Undistributed Offsetting Receipts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-90.740</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-95.653</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-95.6</w:t>
            </w:r>
          </w:p>
        </w:tc>
      </w:tr>
      <w:tr w:rsidR="00472A60" w:rsidRPr="00C40532" w:rsidTr="000A0C98">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b/>
                <w:bCs/>
                <w:color w:val="000000"/>
                <w:sz w:val="24"/>
                <w:szCs w:val="24"/>
              </w:rPr>
              <w:t>Total</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b/>
                <w:bCs/>
                <w:color w:val="000000"/>
                <w:sz w:val="24"/>
                <w:szCs w:val="24"/>
              </w:rPr>
              <w:t>3650.526</w:t>
            </w:r>
          </w:p>
        </w:tc>
        <w:tc>
          <w:tcPr>
            <w:tcW w:w="21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b/>
                <w:bCs/>
                <w:color w:val="000000"/>
                <w:sz w:val="24"/>
                <w:szCs w:val="24"/>
              </w:rPr>
              <w:t>3900.989</w:t>
            </w:r>
          </w:p>
        </w:tc>
        <w:tc>
          <w:tcPr>
            <w:tcW w:w="1712"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b/>
                <w:bCs/>
                <w:color w:val="000000"/>
                <w:sz w:val="24"/>
                <w:szCs w:val="24"/>
              </w:rPr>
              <w:t>3165.6</w:t>
            </w:r>
          </w:p>
        </w:tc>
      </w:tr>
    </w:tbl>
    <w:p w:rsidR="00472A60" w:rsidRPr="00C40532" w:rsidRDefault="00472A60" w:rsidP="00472A60">
      <w:pPr>
        <w:spacing w:after="0" w:line="240" w:lineRule="auto"/>
        <w:jc w:val="both"/>
        <w:rPr>
          <w:rFonts w:ascii="Times New Roman" w:hAnsi="Times New Roman" w:cs="Times New Roman"/>
          <w:b/>
          <w:sz w:val="24"/>
          <w:szCs w:val="24"/>
        </w:rPr>
      </w:pPr>
    </w:p>
    <w:p w:rsidR="00472A60" w:rsidRPr="00C40532" w:rsidRDefault="00472A60" w:rsidP="00472A60">
      <w:pPr>
        <w:spacing w:after="0" w:line="240" w:lineRule="auto"/>
        <w:jc w:val="both"/>
        <w:rPr>
          <w:rFonts w:ascii="Times New Roman" w:hAnsi="Times New Roman" w:cs="Times New Roman"/>
          <w:b/>
          <w:sz w:val="24"/>
          <w:szCs w:val="24"/>
        </w:rPr>
      </w:pPr>
    </w:p>
    <w:p w:rsidR="00472A60" w:rsidRPr="00C40532" w:rsidRDefault="00472A60" w:rsidP="00472A60">
      <w:pPr>
        <w:spacing w:after="0" w:line="240" w:lineRule="auto"/>
        <w:ind w:firstLine="708"/>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Revenues and expenditures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local budgets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state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hAnsi="Times New Roman" w:cs="Times New Roman"/>
          <w:color w:val="222222"/>
          <w:sz w:val="24"/>
          <w:szCs w:val="24"/>
          <w:shd w:val="clear" w:color="auto" w:fill="FFFFFF"/>
          <w:lang w:val="en-US"/>
        </w:rPr>
        <w:t>The U.S. Treasury divides all federal spending into three groups:</w:t>
      </w:r>
      <w:r w:rsidRPr="00C40532">
        <w:rPr>
          <w:rStyle w:val="apple-converted-space"/>
          <w:rFonts w:ascii="Times New Roman" w:hAnsi="Times New Roman" w:cs="Times New Roman"/>
          <w:color w:val="222222"/>
          <w:sz w:val="24"/>
          <w:szCs w:val="24"/>
          <w:shd w:val="clear" w:color="auto" w:fill="FFFFFF"/>
          <w:lang w:val="en-US"/>
        </w:rPr>
        <w:t> </w:t>
      </w:r>
      <w:r w:rsidR="00AA3725">
        <w:fldChar w:fldCharType="begin"/>
      </w:r>
      <w:r w:rsidR="00AA3725" w:rsidRPr="003E0431">
        <w:rPr>
          <w:lang w:val="en-US"/>
        </w:rPr>
        <w:instrText>HYPERLINK "https://www.nationalpriorities.org/budget-basics/federal-budget-101/glossary/" \l "mandatory-spending"</w:instrText>
      </w:r>
      <w:r w:rsidR="00AA3725">
        <w:fldChar w:fldCharType="separate"/>
      </w:r>
      <w:r w:rsidRPr="00C40532">
        <w:rPr>
          <w:rStyle w:val="a5"/>
          <w:rFonts w:ascii="Times New Roman" w:hAnsi="Times New Roman" w:cs="Times New Roman"/>
          <w:color w:val="1673AC"/>
          <w:sz w:val="24"/>
          <w:szCs w:val="24"/>
          <w:shd w:val="clear" w:color="auto" w:fill="FFFFFF"/>
          <w:lang w:val="en-US"/>
        </w:rPr>
        <w:t>mandatory spending</w:t>
      </w:r>
      <w:r w:rsidR="00AA3725">
        <w:fldChar w:fldCharType="end"/>
      </w:r>
      <w:r w:rsidRPr="00C40532">
        <w:rPr>
          <w:rFonts w:ascii="Times New Roman" w:hAnsi="Times New Roman" w:cs="Times New Roman"/>
          <w:color w:val="222222"/>
          <w:sz w:val="24"/>
          <w:szCs w:val="24"/>
          <w:shd w:val="clear" w:color="auto" w:fill="FFFFFF"/>
          <w:lang w:val="en-US"/>
        </w:rPr>
        <w:t>,</w:t>
      </w:r>
      <w:r w:rsidRPr="00C40532">
        <w:rPr>
          <w:rStyle w:val="apple-converted-space"/>
          <w:rFonts w:ascii="Times New Roman" w:hAnsi="Times New Roman" w:cs="Times New Roman"/>
          <w:color w:val="222222"/>
          <w:sz w:val="24"/>
          <w:szCs w:val="24"/>
          <w:shd w:val="clear" w:color="auto" w:fill="FFFFFF"/>
          <w:lang w:val="en-US"/>
        </w:rPr>
        <w:t> </w:t>
      </w:r>
      <w:r w:rsidR="00AA3725">
        <w:fldChar w:fldCharType="begin"/>
      </w:r>
      <w:r w:rsidR="00AA3725" w:rsidRPr="003E0431">
        <w:rPr>
          <w:lang w:val="en-US"/>
        </w:rPr>
        <w:instrText>HYPERLINK "https://www.nationalpriorities.org/budget-basics/federal-budget-101/glossary/" \l "discretionary-spending"</w:instrText>
      </w:r>
      <w:r w:rsidR="00AA3725">
        <w:fldChar w:fldCharType="separate"/>
      </w:r>
      <w:r w:rsidRPr="00C40532">
        <w:rPr>
          <w:rStyle w:val="a5"/>
          <w:rFonts w:ascii="Times New Roman" w:hAnsi="Times New Roman" w:cs="Times New Roman"/>
          <w:color w:val="1673AC"/>
          <w:sz w:val="24"/>
          <w:szCs w:val="24"/>
          <w:shd w:val="clear" w:color="auto" w:fill="FFFFFF"/>
          <w:lang w:val="en-US"/>
        </w:rPr>
        <w:t>discretionary spending</w:t>
      </w:r>
      <w:r w:rsidR="00AA3725">
        <w:fldChar w:fldCharType="end"/>
      </w:r>
      <w:r w:rsidRPr="00C40532">
        <w:rPr>
          <w:rStyle w:val="apple-converted-space"/>
          <w:rFonts w:ascii="Times New Roman" w:hAnsi="Times New Roman" w:cs="Times New Roman"/>
          <w:color w:val="222222"/>
          <w:sz w:val="24"/>
          <w:szCs w:val="24"/>
          <w:shd w:val="clear" w:color="auto" w:fill="FFFFFF"/>
          <w:lang w:val="en-US"/>
        </w:rPr>
        <w:t> </w:t>
      </w:r>
      <w:r w:rsidRPr="00C40532">
        <w:rPr>
          <w:rFonts w:ascii="Times New Roman" w:hAnsi="Times New Roman" w:cs="Times New Roman"/>
          <w:color w:val="222222"/>
          <w:sz w:val="24"/>
          <w:szCs w:val="24"/>
          <w:shd w:val="clear" w:color="auto" w:fill="FFFFFF"/>
          <w:lang w:val="en-US"/>
        </w:rPr>
        <w:t>and</w:t>
      </w:r>
      <w:r w:rsidRPr="00C40532">
        <w:rPr>
          <w:rStyle w:val="apple-converted-space"/>
          <w:rFonts w:ascii="Times New Roman" w:hAnsi="Times New Roman" w:cs="Times New Roman"/>
          <w:color w:val="222222"/>
          <w:sz w:val="24"/>
          <w:szCs w:val="24"/>
          <w:shd w:val="clear" w:color="auto" w:fill="FFFFFF"/>
          <w:lang w:val="en-US"/>
        </w:rPr>
        <w:t> </w:t>
      </w:r>
      <w:r w:rsidR="00AA3725">
        <w:fldChar w:fldCharType="begin"/>
      </w:r>
      <w:r w:rsidR="00AA3725" w:rsidRPr="003E0431">
        <w:rPr>
          <w:lang w:val="en-US"/>
        </w:rPr>
        <w:instrText>HYPERLINK "https://www.nationalpriorities.org/budget-basics/federal-budget-101/glossary/" \l "interest-on-debt"</w:instrText>
      </w:r>
      <w:r w:rsidR="00AA3725">
        <w:fldChar w:fldCharType="separate"/>
      </w:r>
      <w:r w:rsidRPr="00C40532">
        <w:rPr>
          <w:rStyle w:val="a5"/>
          <w:rFonts w:ascii="Times New Roman" w:hAnsi="Times New Roman" w:cs="Times New Roman"/>
          <w:color w:val="1673AC"/>
          <w:sz w:val="24"/>
          <w:szCs w:val="24"/>
          <w:shd w:val="clear" w:color="auto" w:fill="FFFFFF"/>
          <w:lang w:val="en-US"/>
        </w:rPr>
        <w:t>interest on debt</w:t>
      </w:r>
      <w:r w:rsidR="00AA3725">
        <w:fldChar w:fldCharType="end"/>
      </w:r>
      <w:r w:rsidRPr="00C40532">
        <w:rPr>
          <w:rFonts w:ascii="Times New Roman" w:hAnsi="Times New Roman" w:cs="Times New Roman"/>
          <w:color w:val="222222"/>
          <w:sz w:val="24"/>
          <w:szCs w:val="24"/>
          <w:shd w:val="clear" w:color="auto" w:fill="FFFFFF"/>
          <w:lang w:val="en-US"/>
        </w:rPr>
        <w:t>. Mandatory and discretionary spending account for more than ninety percent of all federal spending, and pay for all of the government services and programs on which we rely. Interest on debt, which is a much smaller amount than the other two categories, is the interest the government pays on its accumulated</w:t>
      </w:r>
      <w:r w:rsidRPr="00C40532">
        <w:rPr>
          <w:rStyle w:val="apple-converted-space"/>
          <w:rFonts w:ascii="Times New Roman" w:hAnsi="Times New Roman" w:cs="Times New Roman"/>
          <w:color w:val="222222"/>
          <w:sz w:val="24"/>
          <w:szCs w:val="24"/>
          <w:shd w:val="clear" w:color="auto" w:fill="FFFFFF"/>
          <w:lang w:val="en-US"/>
        </w:rPr>
        <w:t> </w:t>
      </w:r>
      <w:r w:rsidR="00AA3725">
        <w:fldChar w:fldCharType="begin"/>
      </w:r>
      <w:r w:rsidR="00AA3725" w:rsidRPr="003E0431">
        <w:rPr>
          <w:lang w:val="en-US"/>
        </w:rPr>
        <w:instrText>HYPERLINK "https://www.nationalpriorities.org/budget-basics/federal-budget-101/glossary/" \l "debt"</w:instrText>
      </w:r>
      <w:r w:rsidR="00AA3725">
        <w:fldChar w:fldCharType="separate"/>
      </w:r>
      <w:r w:rsidRPr="00C40532">
        <w:rPr>
          <w:rStyle w:val="a5"/>
          <w:rFonts w:ascii="Times New Roman" w:hAnsi="Times New Roman" w:cs="Times New Roman"/>
          <w:color w:val="1673AC"/>
          <w:sz w:val="24"/>
          <w:szCs w:val="24"/>
          <w:shd w:val="clear" w:color="auto" w:fill="FFFFFF"/>
          <w:lang w:val="en-US"/>
        </w:rPr>
        <w:t>debt</w:t>
      </w:r>
      <w:r w:rsidR="00AA3725">
        <w:fldChar w:fldCharType="end"/>
      </w:r>
      <w:r w:rsidRPr="00C40532">
        <w:rPr>
          <w:rFonts w:ascii="Times New Roman" w:hAnsi="Times New Roman" w:cs="Times New Roman"/>
          <w:color w:val="222222"/>
          <w:sz w:val="24"/>
          <w:szCs w:val="24"/>
          <w:shd w:val="clear" w:color="auto" w:fill="FFFFFF"/>
          <w:lang w:val="en-US"/>
        </w:rPr>
        <w:t>, minus interest income received by the government for assets it owns. The pie chart shows federal spending in 2015 broken into these three categories.</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b/>
          <w:bCs/>
          <w:color w:val="222222"/>
          <w:sz w:val="24"/>
          <w:szCs w:val="24"/>
          <w:lang w:val="en-US"/>
        </w:rPr>
        <w:t>Discretionary Spending</w:t>
      </w:r>
    </w:p>
    <w:p w:rsidR="00472A60" w:rsidRPr="00C40532" w:rsidRDefault="00AA3725" w:rsidP="00472A60">
      <w:pPr>
        <w:spacing w:after="0" w:line="240" w:lineRule="auto"/>
        <w:ind w:firstLine="708"/>
        <w:jc w:val="both"/>
        <w:rPr>
          <w:rFonts w:ascii="Times New Roman" w:hAnsi="Times New Roman" w:cs="Times New Roman"/>
          <w:color w:val="222222"/>
          <w:sz w:val="24"/>
          <w:szCs w:val="24"/>
          <w:shd w:val="clear" w:color="auto" w:fill="FFFFFF"/>
          <w:lang w:val="en-US"/>
        </w:rPr>
      </w:pPr>
      <w:r>
        <w:lastRenderedPageBreak/>
        <w:fldChar w:fldCharType="begin"/>
      </w:r>
      <w:r w:rsidRPr="003E0431">
        <w:rPr>
          <w:lang w:val="en-US"/>
        </w:rPr>
        <w:instrText>HYPERLINK "https://www.nationalpriorities.org/budget-basics/federal-budget-101/glossary/" \l "discretionary-spending"</w:instrText>
      </w:r>
      <w:r>
        <w:fldChar w:fldCharType="separate"/>
      </w:r>
      <w:r w:rsidR="00472A60" w:rsidRPr="00C40532">
        <w:rPr>
          <w:rFonts w:ascii="Times New Roman" w:eastAsia="Times New Roman" w:hAnsi="Times New Roman" w:cs="Times New Roman"/>
          <w:color w:val="1673AC"/>
          <w:sz w:val="24"/>
          <w:szCs w:val="24"/>
          <w:u w:val="single"/>
          <w:lang w:val="en-US"/>
        </w:rPr>
        <w:t>Discretionary spending</w:t>
      </w:r>
      <w:r>
        <w:fldChar w:fldCharType="end"/>
      </w:r>
      <w:r w:rsidR="00472A60" w:rsidRPr="00C40532">
        <w:rPr>
          <w:rFonts w:ascii="Times New Roman" w:eastAsia="Times New Roman" w:hAnsi="Times New Roman" w:cs="Times New Roman"/>
          <w:color w:val="222222"/>
          <w:sz w:val="24"/>
          <w:szCs w:val="24"/>
          <w:lang w:val="en-US"/>
        </w:rPr>
        <w:t> refers to the portion of the budget that is decided by Congress through the annual </w:t>
      </w:r>
      <w:r>
        <w:fldChar w:fldCharType="begin"/>
      </w:r>
      <w:r w:rsidRPr="003E0431">
        <w:rPr>
          <w:lang w:val="en-US"/>
        </w:rPr>
        <w:instrText>HYPERLINK "https://www.nationalpriorities.org/budget-basics/federal-budget-101/glossary/" \l "appropriations-process"</w:instrText>
      </w:r>
      <w:r>
        <w:fldChar w:fldCharType="separate"/>
      </w:r>
      <w:r w:rsidR="00472A60" w:rsidRPr="00C40532">
        <w:rPr>
          <w:rFonts w:ascii="Times New Roman" w:eastAsia="Times New Roman" w:hAnsi="Times New Roman" w:cs="Times New Roman"/>
          <w:color w:val="1673AC"/>
          <w:sz w:val="24"/>
          <w:szCs w:val="24"/>
          <w:u w:val="single"/>
          <w:lang w:val="en-US"/>
        </w:rPr>
        <w:t>appropriations process</w:t>
      </w:r>
      <w:r>
        <w:fldChar w:fldCharType="end"/>
      </w:r>
      <w:r w:rsidR="00472A60" w:rsidRPr="00C40532">
        <w:rPr>
          <w:rFonts w:ascii="Times New Roman" w:eastAsia="Times New Roman" w:hAnsi="Times New Roman" w:cs="Times New Roman"/>
          <w:color w:val="222222"/>
          <w:sz w:val="24"/>
          <w:szCs w:val="24"/>
          <w:lang w:val="en-US"/>
        </w:rPr>
        <w:t> each year. These spending levels are set each year by Congress.</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color w:val="222222"/>
          <w:sz w:val="24"/>
          <w:szCs w:val="24"/>
          <w:lang w:val="en-US"/>
        </w:rPr>
        <w:t>This pie chart shows how Congress allocated $1.11 trillion in </w:t>
      </w:r>
      <w:r w:rsidR="00AA3725">
        <w:fldChar w:fldCharType="begin"/>
      </w:r>
      <w:r w:rsidR="00AA3725" w:rsidRPr="003E0431">
        <w:rPr>
          <w:lang w:val="en-US"/>
        </w:rPr>
        <w:instrText>HYPERLINK "https://www.nationalpriorities.org/budget-basics/federal-budget-101/glossary/" \l "discretionary-spending"</w:instrText>
      </w:r>
      <w:r w:rsidR="00AA3725">
        <w:fldChar w:fldCharType="separate"/>
      </w:r>
      <w:r w:rsidRPr="00C40532">
        <w:rPr>
          <w:rFonts w:ascii="Times New Roman" w:eastAsia="Times New Roman" w:hAnsi="Times New Roman" w:cs="Times New Roman"/>
          <w:color w:val="1673AC"/>
          <w:sz w:val="24"/>
          <w:szCs w:val="24"/>
          <w:u w:val="single"/>
          <w:lang w:val="en-US"/>
        </w:rPr>
        <w:t>discretionary spending</w:t>
      </w:r>
      <w:r w:rsidR="00AA3725">
        <w:fldChar w:fldCharType="end"/>
      </w:r>
      <w:r w:rsidRPr="00C40532">
        <w:rPr>
          <w:rFonts w:ascii="Times New Roman" w:eastAsia="Times New Roman" w:hAnsi="Times New Roman" w:cs="Times New Roman"/>
          <w:color w:val="222222"/>
          <w:sz w:val="24"/>
          <w:szCs w:val="24"/>
          <w:lang w:val="en-US"/>
        </w:rPr>
        <w:t> in fiscal year 2015.</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eastAsia="Times New Roman" w:hAnsi="Times New Roman" w:cs="Times New Roman"/>
          <w:color w:val="222222"/>
          <w:sz w:val="24"/>
          <w:szCs w:val="24"/>
          <w:lang w:val="en-US"/>
        </w:rPr>
        <w:t>MilitaryGovernmentEducationMedicare &amp; HealthVeterans' BenefitsHousing &amp; CommunityInternational AffairsEnergy &amp; EnvironmentScienceTransportationFood &amp; AgricultureDiscretionary Spending 2015: $1.11 Trillion</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color w:val="222222"/>
          <w:sz w:val="24"/>
          <w:szCs w:val="24"/>
          <w:lang w:val="en-US"/>
        </w:rPr>
        <w:t>By far, the biggest category of discretionary spending is spending on the Pentagon and related military programs. Examples of other well-known programs paid for by discretionary spending include the early childhood education program Head Start (included in Housing &amp; Community), Title I grants to disadvantaged schools and Pell grants for low-income college students (Education), food assistance for Women, Infants and Children (WIC), training and placement for unemployed people provided by Workforce Investment Boards (in Social Security, Unemployment and Labor), and scientific research through the National Institutes of Health (NIH) and National Science Foundation (NSF), among many others.</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b/>
          <w:bCs/>
          <w:color w:val="222222"/>
          <w:sz w:val="24"/>
          <w:szCs w:val="24"/>
          <w:lang w:val="en-US"/>
        </w:rPr>
        <w:t>Mandatory Spending</w:t>
      </w:r>
    </w:p>
    <w:p w:rsidR="00472A60" w:rsidRPr="00C40532" w:rsidRDefault="00AA3725" w:rsidP="00472A60">
      <w:pPr>
        <w:spacing w:after="0" w:line="240" w:lineRule="auto"/>
        <w:ind w:firstLine="708"/>
        <w:jc w:val="both"/>
        <w:rPr>
          <w:rFonts w:ascii="Times New Roman" w:hAnsi="Times New Roman" w:cs="Times New Roman"/>
          <w:color w:val="222222"/>
          <w:sz w:val="24"/>
          <w:szCs w:val="24"/>
          <w:shd w:val="clear" w:color="auto" w:fill="FFFFFF"/>
          <w:lang w:val="en-US"/>
        </w:rPr>
      </w:pPr>
      <w:r>
        <w:fldChar w:fldCharType="begin"/>
      </w:r>
      <w:r w:rsidRPr="003E0431">
        <w:rPr>
          <w:lang w:val="en-US"/>
        </w:rPr>
        <w:instrText>HYPERLINK "https://www.nationalpriorities.org/budget-basics/federal-budget-101/glossary/" \l "mandatory-spending"</w:instrText>
      </w:r>
      <w:r>
        <w:fldChar w:fldCharType="separate"/>
      </w:r>
      <w:r w:rsidR="00472A60" w:rsidRPr="00C40532">
        <w:rPr>
          <w:rFonts w:ascii="Times New Roman" w:eastAsia="Times New Roman" w:hAnsi="Times New Roman" w:cs="Times New Roman"/>
          <w:color w:val="1673AC"/>
          <w:sz w:val="24"/>
          <w:szCs w:val="24"/>
          <w:u w:val="single"/>
          <w:lang w:val="en-US"/>
        </w:rPr>
        <w:t>Mandatory spending</w:t>
      </w:r>
      <w:r>
        <w:fldChar w:fldCharType="end"/>
      </w:r>
      <w:r w:rsidR="00472A60" w:rsidRPr="00C40532">
        <w:rPr>
          <w:rFonts w:ascii="Times New Roman" w:eastAsia="Times New Roman" w:hAnsi="Times New Roman" w:cs="Times New Roman"/>
          <w:color w:val="222222"/>
          <w:sz w:val="24"/>
          <w:szCs w:val="24"/>
          <w:lang w:val="en-US"/>
        </w:rPr>
        <w:t> is spending that Congress legislates outside of the annual appropriations process, usually less than once a year. It is dominated by the well-known earned-benefit programs Social Security and Medicare. It also includes widely used safety net programs like the Supplemental Nutrition Assistance Program (SNAP, formerly food stamps), and a significant amount of federal spending on transportation, among other things.</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color w:val="222222"/>
          <w:sz w:val="24"/>
          <w:szCs w:val="24"/>
          <w:lang w:val="en-US"/>
        </w:rPr>
        <w:t>Many mandatory programs' spending levels are determined by eligibility rules. For example, Congress decides to create a program like Social Security. It then sets criteria for determining who is eligible to receive benefits from the program, and benefit levels for people who are eligible. The amount of money spent on Social Security each year is then determined by how many people are eligible and apply for benefits.</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color w:val="222222"/>
          <w:sz w:val="24"/>
          <w:szCs w:val="24"/>
          <w:lang w:val="en-US"/>
        </w:rPr>
        <w:t>Congress therefore does not decide each year to increase or decrease the budget for Social Security or other earned benefit programs. Instead, it periodically reviews the eligibility rules and may change them in order to exclude or include more people, or offer more or less generous benefits to those who are eligible, and therefore change the amount spent on the program.</w:t>
      </w:r>
    </w:p>
    <w:p w:rsidR="00472A60" w:rsidRPr="00C40532" w:rsidRDefault="00AA3725" w:rsidP="00472A60">
      <w:pPr>
        <w:spacing w:after="0" w:line="240" w:lineRule="auto"/>
        <w:ind w:firstLine="708"/>
        <w:jc w:val="both"/>
        <w:rPr>
          <w:rFonts w:ascii="Times New Roman" w:hAnsi="Times New Roman" w:cs="Times New Roman"/>
          <w:color w:val="222222"/>
          <w:sz w:val="24"/>
          <w:szCs w:val="24"/>
          <w:shd w:val="clear" w:color="auto" w:fill="FFFFFF"/>
          <w:lang w:val="en-US"/>
        </w:rPr>
      </w:pPr>
      <w:r>
        <w:fldChar w:fldCharType="begin"/>
      </w:r>
      <w:r w:rsidRPr="003E0431">
        <w:rPr>
          <w:lang w:val="en-US"/>
        </w:rPr>
        <w:instrText>HYPERLINK "https://www.nationalpriorities.org/budget-basics/federal-budget-101/glossary/" \l "mandatory-spending"</w:instrText>
      </w:r>
      <w:r>
        <w:fldChar w:fldCharType="separate"/>
      </w:r>
      <w:r w:rsidR="00472A60" w:rsidRPr="00C40532">
        <w:rPr>
          <w:rFonts w:ascii="Times New Roman" w:eastAsia="Times New Roman" w:hAnsi="Times New Roman" w:cs="Times New Roman"/>
          <w:color w:val="1673AC"/>
          <w:sz w:val="24"/>
          <w:szCs w:val="24"/>
          <w:u w:val="single"/>
          <w:lang w:val="en-US"/>
        </w:rPr>
        <w:t>Mandatory spending</w:t>
      </w:r>
      <w:r>
        <w:fldChar w:fldCharType="end"/>
      </w:r>
      <w:r w:rsidR="00472A60" w:rsidRPr="00C40532">
        <w:rPr>
          <w:rFonts w:ascii="Times New Roman" w:eastAsia="Times New Roman" w:hAnsi="Times New Roman" w:cs="Times New Roman"/>
          <w:color w:val="222222"/>
          <w:sz w:val="24"/>
          <w:szCs w:val="24"/>
          <w:lang w:val="en-US"/>
        </w:rPr>
        <w:t> makes up nearly two-thirds of the total federal budget. Social Security alone comprises more than a third of </w:t>
      </w:r>
      <w:r>
        <w:fldChar w:fldCharType="begin"/>
      </w:r>
      <w:r w:rsidRPr="003E0431">
        <w:rPr>
          <w:lang w:val="en-US"/>
        </w:rPr>
        <w:instrText>HYPERLINK "https://www.nationalpriorities.org/budget-basics/federal-budget-101/glossary/" \l "mandatory-spending"</w:instrText>
      </w:r>
      <w:r>
        <w:fldChar w:fldCharType="separate"/>
      </w:r>
      <w:r w:rsidR="00472A60" w:rsidRPr="00C40532">
        <w:rPr>
          <w:rFonts w:ascii="Times New Roman" w:eastAsia="Times New Roman" w:hAnsi="Times New Roman" w:cs="Times New Roman"/>
          <w:color w:val="1673AC"/>
          <w:sz w:val="24"/>
          <w:szCs w:val="24"/>
          <w:u w:val="single"/>
          <w:lang w:val="en-US"/>
        </w:rPr>
        <w:t>mandatory spending</w:t>
      </w:r>
      <w:r>
        <w:fldChar w:fldCharType="end"/>
      </w:r>
      <w:r w:rsidR="00472A60" w:rsidRPr="00C40532">
        <w:rPr>
          <w:rFonts w:ascii="Times New Roman" w:eastAsia="Times New Roman" w:hAnsi="Times New Roman" w:cs="Times New Roman"/>
          <w:color w:val="222222"/>
          <w:sz w:val="24"/>
          <w:szCs w:val="24"/>
          <w:lang w:val="en-US"/>
        </w:rPr>
        <w:t> and around 23 percent of the total federal budget. Medicare makes up an additional 23 percent of mandatory spending and 15 percent of the total federal budget.</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color w:val="222222"/>
          <w:sz w:val="24"/>
          <w:szCs w:val="24"/>
          <w:lang w:val="en-US"/>
        </w:rPr>
        <w:t>This chart shows where the projected $2.45 trillion in </w:t>
      </w:r>
      <w:r w:rsidR="00AA3725">
        <w:fldChar w:fldCharType="begin"/>
      </w:r>
      <w:r w:rsidR="00AA3725" w:rsidRPr="003E0431">
        <w:rPr>
          <w:lang w:val="en-US"/>
        </w:rPr>
        <w:instrText>HYPERLINK "https://www.nationalpriorities.org/budget-basics/federal-budget-101/glossary/" \l "mandatory-spending"</w:instrText>
      </w:r>
      <w:r w:rsidR="00AA3725">
        <w:fldChar w:fldCharType="separate"/>
      </w:r>
      <w:r w:rsidRPr="00C40532">
        <w:rPr>
          <w:rFonts w:ascii="Times New Roman" w:eastAsia="Times New Roman" w:hAnsi="Times New Roman" w:cs="Times New Roman"/>
          <w:color w:val="1673AC"/>
          <w:sz w:val="24"/>
          <w:szCs w:val="24"/>
          <w:u w:val="single"/>
          <w:lang w:val="en-US"/>
        </w:rPr>
        <w:t>mandatory spending</w:t>
      </w:r>
      <w:r w:rsidR="00AA3725">
        <w:fldChar w:fldCharType="end"/>
      </w:r>
      <w:r w:rsidRPr="00C40532">
        <w:rPr>
          <w:rFonts w:ascii="Times New Roman" w:eastAsia="Times New Roman" w:hAnsi="Times New Roman" w:cs="Times New Roman"/>
          <w:color w:val="222222"/>
          <w:sz w:val="24"/>
          <w:szCs w:val="24"/>
          <w:lang w:val="en-US"/>
        </w:rPr>
        <w:t> will go in fiscal year 2015.</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color w:val="222222"/>
          <w:sz w:val="24"/>
          <w:szCs w:val="24"/>
          <w:lang w:val="en-US"/>
        </w:rPr>
        <w:t>Social Security, Unemployment &amp; LaborMedicare &amp; HealthFood &amp; AgricultureVeterans' BenefitsTransportationOtherTotal Mandatory Spending 2015: $2.45 Trillion</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b/>
          <w:bCs/>
          <w:color w:val="222222"/>
          <w:sz w:val="24"/>
          <w:szCs w:val="24"/>
          <w:lang w:val="en-US"/>
        </w:rPr>
        <w:t>All Federal Spending</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color w:val="222222"/>
          <w:sz w:val="24"/>
          <w:szCs w:val="24"/>
          <w:lang w:val="en-US"/>
        </w:rPr>
        <w:t>Finally, putting together </w:t>
      </w:r>
      <w:r w:rsidR="00AA3725">
        <w:fldChar w:fldCharType="begin"/>
      </w:r>
      <w:r w:rsidR="00AA3725" w:rsidRPr="003E0431">
        <w:rPr>
          <w:lang w:val="en-US"/>
        </w:rPr>
        <w:instrText>HYPERLINK "https://www.nationalpriorities.org/budget-basics/federal-budget-101/glossary/" \l "discretionary-spending"</w:instrText>
      </w:r>
      <w:r w:rsidR="00AA3725">
        <w:fldChar w:fldCharType="separate"/>
      </w:r>
      <w:r w:rsidRPr="00C40532">
        <w:rPr>
          <w:rFonts w:ascii="Times New Roman" w:eastAsia="Times New Roman" w:hAnsi="Times New Roman" w:cs="Times New Roman"/>
          <w:color w:val="1673AC"/>
          <w:sz w:val="24"/>
          <w:szCs w:val="24"/>
          <w:u w:val="single"/>
          <w:lang w:val="en-US"/>
        </w:rPr>
        <w:t>discretionary spending</w:t>
      </w:r>
      <w:r w:rsidR="00AA3725">
        <w:fldChar w:fldCharType="end"/>
      </w:r>
      <w:r w:rsidRPr="00C40532">
        <w:rPr>
          <w:rFonts w:ascii="Times New Roman" w:eastAsia="Times New Roman" w:hAnsi="Times New Roman" w:cs="Times New Roman"/>
          <w:color w:val="222222"/>
          <w:sz w:val="24"/>
          <w:szCs w:val="24"/>
          <w:lang w:val="en-US"/>
        </w:rPr>
        <w:t>, </w:t>
      </w:r>
      <w:r w:rsidR="00AA3725">
        <w:fldChar w:fldCharType="begin"/>
      </w:r>
      <w:r w:rsidR="00AA3725" w:rsidRPr="003E0431">
        <w:rPr>
          <w:lang w:val="en-US"/>
        </w:rPr>
        <w:instrText>HYPERLINK "https://www.nationalpriorities.org/budget-basics/federal-budget-101/glossary/" \l "mandatory-spending"</w:instrText>
      </w:r>
      <w:r w:rsidR="00AA3725">
        <w:fldChar w:fldCharType="separate"/>
      </w:r>
      <w:r w:rsidRPr="00C40532">
        <w:rPr>
          <w:rFonts w:ascii="Times New Roman" w:eastAsia="Times New Roman" w:hAnsi="Times New Roman" w:cs="Times New Roman"/>
          <w:color w:val="1673AC"/>
          <w:sz w:val="24"/>
          <w:szCs w:val="24"/>
          <w:u w:val="single"/>
          <w:lang w:val="en-US"/>
        </w:rPr>
        <w:t>mandatory spending</w:t>
      </w:r>
      <w:r w:rsidR="00AA3725">
        <w:fldChar w:fldCharType="end"/>
      </w:r>
      <w:r w:rsidRPr="00C40532">
        <w:rPr>
          <w:rFonts w:ascii="Times New Roman" w:eastAsia="Times New Roman" w:hAnsi="Times New Roman" w:cs="Times New Roman"/>
          <w:color w:val="222222"/>
          <w:sz w:val="24"/>
          <w:szCs w:val="24"/>
          <w:lang w:val="en-US"/>
        </w:rPr>
        <w:t>, and interest on the </w:t>
      </w:r>
      <w:r w:rsidR="00AA3725">
        <w:fldChar w:fldCharType="begin"/>
      </w:r>
      <w:r w:rsidR="00AA3725" w:rsidRPr="003E0431">
        <w:rPr>
          <w:lang w:val="en-US"/>
        </w:rPr>
        <w:instrText>HYPERLINK "https://www.nationalpriorities.org/budget-basics/federal-budget-101/glossary/" \l "debt"</w:instrText>
      </w:r>
      <w:r w:rsidR="00AA3725">
        <w:fldChar w:fldCharType="separate"/>
      </w:r>
      <w:r w:rsidRPr="00C40532">
        <w:rPr>
          <w:rFonts w:ascii="Times New Roman" w:eastAsia="Times New Roman" w:hAnsi="Times New Roman" w:cs="Times New Roman"/>
          <w:color w:val="1673AC"/>
          <w:sz w:val="24"/>
          <w:szCs w:val="24"/>
          <w:u w:val="single"/>
          <w:lang w:val="en-US"/>
        </w:rPr>
        <w:t>debt</w:t>
      </w:r>
      <w:r w:rsidR="00AA3725">
        <w:fldChar w:fldCharType="end"/>
      </w:r>
      <w:r w:rsidRPr="00C40532">
        <w:rPr>
          <w:rFonts w:ascii="Times New Roman" w:eastAsia="Times New Roman" w:hAnsi="Times New Roman" w:cs="Times New Roman"/>
          <w:color w:val="222222"/>
          <w:sz w:val="24"/>
          <w:szCs w:val="24"/>
          <w:lang w:val="en-US"/>
        </w:rPr>
        <w:t>, you can see how the total federal budget is divided into different categories of spending. This pie chart shows the breakdown $3.8 trillion in combined discretionary, mandatory, and interest spending budgeted by Congress in fiscal year 2015.</w:t>
      </w:r>
    </w:p>
    <w:p w:rsidR="00472A60" w:rsidRPr="00C40532" w:rsidRDefault="00472A60" w:rsidP="00472A60">
      <w:pPr>
        <w:spacing w:after="0" w:line="240" w:lineRule="auto"/>
        <w:ind w:firstLine="708"/>
        <w:jc w:val="both"/>
        <w:rPr>
          <w:rFonts w:ascii="Times New Roman" w:hAnsi="Times New Roman" w:cs="Times New Roman"/>
          <w:color w:val="222222"/>
          <w:sz w:val="24"/>
          <w:szCs w:val="24"/>
          <w:shd w:val="clear" w:color="auto" w:fill="FFFFFF"/>
          <w:lang w:val="en-US"/>
        </w:rPr>
      </w:pPr>
      <w:r w:rsidRPr="00C40532">
        <w:rPr>
          <w:rFonts w:ascii="Times New Roman" w:eastAsia="Times New Roman" w:hAnsi="Times New Roman" w:cs="Times New Roman"/>
          <w:color w:val="222222"/>
          <w:sz w:val="24"/>
          <w:szCs w:val="24"/>
          <w:lang w:val="en-US"/>
        </w:rPr>
        <w:t>Social Security, Unemployment &amp; LaborMedicare &amp; HealthMilitaryInterest on DebtVeteran's BenefitsFood &amp; AgricultureEducationTransportationHousing &amp; CommunityInternational AffairsEnergy &amp; EnvironmentScienceTotal Federal Spending 2015: $3.8 Trillion</w:t>
      </w:r>
    </w:p>
    <w:p w:rsidR="00472A60" w:rsidRPr="00C40532" w:rsidRDefault="00472A60" w:rsidP="00472A60">
      <w:pPr>
        <w:spacing w:after="0" w:line="240" w:lineRule="auto"/>
        <w:jc w:val="both"/>
        <w:rPr>
          <w:rFonts w:ascii="Times New Roman" w:hAnsi="Times New Roman" w:cs="Times New Roman"/>
          <w:b/>
          <w:sz w:val="24"/>
          <w:szCs w:val="24"/>
          <w:lang w:val="en-US"/>
        </w:rPr>
      </w:pPr>
    </w:p>
    <w:p w:rsidR="00472A60" w:rsidRPr="00C40532" w:rsidRDefault="00472A60" w:rsidP="00472A60">
      <w:pPr>
        <w:spacing w:after="0" w:line="240" w:lineRule="auto"/>
        <w:ind w:firstLine="284"/>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lastRenderedPageBreak/>
        <w:t>6. Characteristics of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tax system</w:t>
      </w:r>
    </w:p>
    <w:p w:rsidR="00472A60" w:rsidRPr="00C40532" w:rsidRDefault="00472A60" w:rsidP="00472A60">
      <w:pPr>
        <w:spacing w:after="0" w:line="240" w:lineRule="auto"/>
        <w:jc w:val="both"/>
        <w:rPr>
          <w:rFonts w:ascii="Times New Roman" w:hAnsi="Times New Roman" w:cs="Times New Roman"/>
          <w:b/>
          <w:sz w:val="24"/>
          <w:szCs w:val="24"/>
          <w:lang w:val="en-US"/>
        </w:rPr>
      </w:pPr>
    </w:p>
    <w:p w:rsidR="00472A60" w:rsidRPr="00C40532" w:rsidRDefault="00472A60" w:rsidP="00472A60">
      <w:pPr>
        <w:pStyle w:val="a4"/>
        <w:numPr>
          <w:ilvl w:val="0"/>
          <w:numId w:val="16"/>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Introduction of Taxation in the United States</w:t>
      </w:r>
    </w:p>
    <w:p w:rsidR="00472A60" w:rsidRPr="00C40532" w:rsidRDefault="00472A60" w:rsidP="00472A60">
      <w:pPr>
        <w:pStyle w:val="a4"/>
        <w:numPr>
          <w:ilvl w:val="0"/>
          <w:numId w:val="16"/>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Tax Progressivity</w:t>
      </w:r>
    </w:p>
    <w:p w:rsidR="00472A60" w:rsidRPr="00C40532" w:rsidRDefault="00472A60" w:rsidP="00472A60">
      <w:pPr>
        <w:pStyle w:val="a4"/>
        <w:numPr>
          <w:ilvl w:val="0"/>
          <w:numId w:val="16"/>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Reasons for Progressive Taxation</w:t>
      </w:r>
    </w:p>
    <w:p w:rsidR="00472A60" w:rsidRPr="00C40532" w:rsidRDefault="00472A60" w:rsidP="00472A60">
      <w:pPr>
        <w:pStyle w:val="a4"/>
        <w:numPr>
          <w:ilvl w:val="0"/>
          <w:numId w:val="16"/>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Federal Income Taxes</w:t>
      </w:r>
    </w:p>
    <w:p w:rsidR="00472A60" w:rsidRPr="00C40532" w:rsidRDefault="00472A60" w:rsidP="00472A60">
      <w:pPr>
        <w:pStyle w:val="a4"/>
        <w:numPr>
          <w:ilvl w:val="0"/>
          <w:numId w:val="16"/>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Social Insurance Taxes</w:t>
      </w:r>
    </w:p>
    <w:p w:rsidR="00472A60" w:rsidRPr="00C40532" w:rsidRDefault="00472A60" w:rsidP="00472A60">
      <w:pPr>
        <w:pStyle w:val="a4"/>
        <w:numPr>
          <w:ilvl w:val="0"/>
          <w:numId w:val="16"/>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Federal Corporate Taxes</w:t>
      </w:r>
    </w:p>
    <w:p w:rsidR="00472A60" w:rsidRPr="00C40532" w:rsidRDefault="00472A60" w:rsidP="00472A60">
      <w:pPr>
        <w:pStyle w:val="a4"/>
        <w:numPr>
          <w:ilvl w:val="0"/>
          <w:numId w:val="16"/>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Federal Excise Taxes</w:t>
      </w:r>
    </w:p>
    <w:p w:rsidR="00472A60" w:rsidRPr="00C40532" w:rsidRDefault="00472A60" w:rsidP="00472A60">
      <w:pPr>
        <w:pStyle w:val="a4"/>
        <w:numPr>
          <w:ilvl w:val="0"/>
          <w:numId w:val="16"/>
        </w:numPr>
        <w:spacing w:after="0" w:line="240" w:lineRule="auto"/>
        <w:ind w:left="709" w:firstLine="0"/>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Federal Estate and Gift Taxes</w:t>
      </w:r>
    </w:p>
    <w:p w:rsidR="00472A60" w:rsidRPr="00C40532" w:rsidRDefault="00472A60" w:rsidP="00472A60">
      <w:pPr>
        <w:pStyle w:val="a4"/>
        <w:numPr>
          <w:ilvl w:val="0"/>
          <w:numId w:val="16"/>
        </w:numPr>
        <w:spacing w:after="0" w:line="240" w:lineRule="auto"/>
        <w:ind w:left="709" w:firstLine="0"/>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State and Local Taxes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a) Introduction of Taxation in the United States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Taxes are complicated. The U.S. federal tax code contains over three million words – about 6,000 pages. A casual browsing of the tax code’s table of contents offers a glimpse into the vast complexity of federal taxation. Entire sections of the tax code apply specifically to such topics as the taxation of vaccines, shipowners' mutual protection and indemnity associations, specially sweetened natural wines, and life insurance companies. Annual changes to the tax code imply that taxes will continue to become more complex even as politicians tout tax simplification. Taxes levied by other jurisdictions, such as states and cities, add further layers of complexity. Americans spend billions of hours each year working on their taxes, not to mention the costs of accountants and tax preparers.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Fortunately, one needn’t comprehend the imposing complexity of the tax code to understand the crucial role of taxes in American society. Taxation is an important, but commonly neglected, topic for students of economics, political science, and other social sciences. Tax policy has important economic consequences, both for the national economy and for particular groups within the economy. Tax policies are often designed with the intention of stimulating economic growth – although economists differ drastically about which policies are most effective at fostering growth. Taxes can create incentives promoting desirable behavior and disincentives for unwanted behavior. Taxation provides a means to redistribute economic resources towards those with low incomes or special needs. Taxes provide the revenue needed for critical public services such as social security, health care, national defense, and education.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Taxation is as much a political issue as an economic issue. Political leaders have used tax policy to promote their agendas by initiating various tax reforms: decreasing (or increasing) tax rates, changing the definition of taxable income, creating new taxes on specific products, etc. Of course, no one particularly wants to pay taxes. Specific groups, such as small-business owners, farmers, or retired individuals, exert significant political effort to reduce their share of the tax burden. The voluminous tax code is packed with rules that benefit a certain group of taxpayers while inevitably shifting more of the burden to others. Tax policy clearly reflects the expression of power in the U.S. – those without power or favor are left paying more in taxes while others reap the benefits of lower taxes because of their political influence. Broad attempts to reform the tax system have produced dramatic and sudden shifts in tax policy, generally motivated by political factors rather than sound economic theory. For example, the top marginal federal tax bracket on individual income in the U.S. dropped precipitously from 70% to 28% during the 1980s. Tax policy has clearly been used to promote political, as well as economic, agendas.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b) Tax Progressivity</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overall system of taxation in the United States is progressive. By a progressive tax system, we mean that the percentage of income an individual (or household) pays in taxes tends to increase with increasing income. Not only do those with higher incomes pay more in total taxes, </w:t>
      </w:r>
      <w:r w:rsidRPr="00C40532">
        <w:rPr>
          <w:rFonts w:ascii="Times New Roman" w:hAnsi="Times New Roman" w:cs="Times New Roman"/>
          <w:sz w:val="24"/>
          <w:szCs w:val="24"/>
          <w:lang w:val="en-US"/>
        </w:rPr>
        <w:lastRenderedPageBreak/>
        <w:t xml:space="preserve">they pay a higher rate of taxes. For example, a person making $100,000 in a year might pay 25% of their income in taxes ($25,000 in taxes), while someone with an income of $30,000 might only pay a 10% tax rate ($3,000 in taxes).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 tax system may also be regressive or proportional. A regressive tax system is one where the proportion of income paid in taxes tends to decrease as one’s income increases. A proportional tax system simply means that everyone pays the same tax rate regardless of income. A given tax system may display elements of more than one approach. Consider a hypothetical tax system where one pays a proportional, or flat, rate on income below a certain dollar amount and then progressively increasing rates above that dollar amount. Also, within an overall tax system, some particular taxes might be progressive while other taxes are regressive. We’ll see later on that this is the case in the United States.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c) Reasons for Progressive Taxation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overall tax system of the United States, and in most other countries, is progressive for a number of reasons. A progressive tax embodies the concept that those with high incomes should pay more of their income in taxes because of their greater ability to pay without critical sacrifices. By paying a tax, any household must forego an equivalent amount of spending on goods, services, or investments. For a high-income household, these foregone opportunities might include a second home, an expensive vehicle, or a purchase of corporate stock. A low-income household, by comparison, might have to forego basic medical care, post-secondary education, or vehicle safety repairs. As income increases, the opportunity costs of paying taxes tend to be associated more with luxuries rather than basic necessities. The ability-to-pay principle recognizes that a flat (or regressive) tax rate would impose a larger burden, in terms of foregone necessities, on low-income households as compared to high-income households.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 progressive tax system is also a way to address economic inequalities in a society. A high degree of inequality can be lessened by taxing high-income households at a relatively higher rate than low-income households. But we also need to consider who receives the benefits derived from tax revenues to fully evaluate a tax system’s impact on inequality. If the benefits of programs funded by taxation primarily accrue to low-income households while high-income households pay the majority of taxes, then the tax system effectively operates as a transfer mechanism. Increasing the progressivity of the tax system or altering the distribution of benefits allows redistribution of economic resources. We’ll mainly focus on tax payments in this article but you should also be aware that the benefits of public expenditures are not evenly distributed throughout society.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There is also an economic argument for a progressive tax system – it may yield a given level of public revenue with the least economic impact. To see why, consider how households with different levels of income would respond to a $100 tax cut. A low-income household would tend to quickly spend the entire amount on needed goods and services – injecting $100 of increased demand into the economy. By comparison, a high-income household might only spend a fraction on goods and services, choosing to save or invest a portion of the money. The money that a high-income household saves or invests does not add to the level of demand for goods and services in an economy. In economic terms, we say that the marginal propensity to consume tends to decrease as income increases. So, by collecting proportionally more taxes from high-income households we tend to maintain a higher level of effective demand and more economic activity.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Of course, one can posit that a tax system can become too progressive. Extremely high tax rates at high-income levels might create a significant disincentive that reduces the productive capacity of society. Very high taxes might limit the risks taken by entrepreneurs, stifling innovations and technological advances. The desire to “soak the rich” through an extremely progressive tax system might be viewed as unfair, and not just by the rich. In fact, this was a concern of the Constitutional framers – that in a democratic system, the majority could impose unduly burdensome </w:t>
      </w:r>
      <w:r w:rsidRPr="00C40532">
        <w:rPr>
          <w:rFonts w:ascii="Times New Roman" w:hAnsi="Times New Roman" w:cs="Times New Roman"/>
          <w:sz w:val="24"/>
          <w:szCs w:val="24"/>
          <w:lang w:val="en-US"/>
        </w:rPr>
        <w:lastRenderedPageBreak/>
        <w:t xml:space="preserve">taxes on the wealthy minority. We’ll see that their concerns have proved groundless. Many critics of the current tax system point to the contrary position – that a powerful minority have used their might to shift the tax burden away from themselves onto an immobilized and misinformed majority.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Even if one could devise a tax system that is economically optimal (i.e., producing the highest overall level of economic growth), the topic of taxation encompasses ideals about equity and fairness. A society may be willing to sacrifice some degree of economic growth in exchange for a more equitable distribution of economic resources. This is not to say that economic growth must always be sacrificed with redistribution. In fact, analysis of the U.S. historical data finds that high levels of economic growth tend to be associated with periods of relatively equitable distribution of economic resources.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We now turn to differentiating between the different types of taxes levied in the U.S. We’ll first discuss several forms of federal taxation, roughly in order of the revenue they generate, and then consider taxation at the state and local levels. A final section will consider taxes that are generally not used in the U.S. but are important in other nations.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d) Federal Income Taxes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federal income tax is the most visible, complicated, and debated tax in the U.S. The federal income tax was established with the ratification of the 16th Amendment to the U.S. Constitution in 1913. It is levied on wages and salaries as well as income from many other sources including interest, dividends, capital gains, self-employment income, alimony, and prizes. To understand the basic workings of federal income taxes, you need to comprehend only two major issues. First, all income is not taxable – there are important differences among “total income,” “adjusted gross income,” and “taxable income.” Second, you need to know the distinction between a person’s “effective tax rate” and “marginal tax rate.”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Total income is simply the sum of income an individual or couple receives from all sources. For most people, the largest portion of total income comes from wages or salaries. Many people receive investment income from three standard sources: interest, capital gains, and dividends. Self-employment income is also included in total income, along with other types of income such as alimony, farm income, and gambling winnings.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amount of federal taxes a person owes is not calculated based on total income. Instead, once total income is calculated, tax filers subtract some expenses as non-taxable. To obtain adjusted gross income (AGI), certain out-of-pocket expenses are subtracted from total income. These expenses include individual retirement account contributions, moving expenses, student loan interest, tuition, and a few other expenses. AGI is important because much of the tax data presented by the Internal Revenue Service (IRS) are sorted by AGI. However, taxes are not calculated based on AGI either. Taxable income is basically AGI less deductions and exemptions. Deductions are either standard or itemized. The standard deduction is a fixed amount excluded from taxation – in 2003 the standard deduction was $4,750 for single individuals and $9,500 for married couples. Tax filers have the option of itemizing their deductions. To itemize, a tax filer adds up certain expenses made during the year including state taxes, real estate taxes, mortgage interest, gifts to charity, and major medical expenses. If the itemized deductions exceed the standard deduction, then the itemized total is deducted instead. Exemptions are calculated based on the number of tax filers and dependents. A single tax filer with no dependent children can claim one exemption. A married couple with no children can claim two exemptions. Each dependent child counts as one more exemption. Additional exemptions are given for being age 65 or over or blind. In 2003, each exemption excluded a further $3,050 from taxation.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Taxable income is obtained by subtracting the deduction and exemption amounts from AGI. This is the amount a taxpayer actually pays taxes on. However, the amount of tax owed is not simply a multiple of taxable income and a single tax rate. The federal income tax system in the U.S. </w:t>
      </w:r>
      <w:r w:rsidRPr="00C40532">
        <w:rPr>
          <w:rFonts w:ascii="Times New Roman" w:hAnsi="Times New Roman" w:cs="Times New Roman"/>
          <w:sz w:val="24"/>
          <w:szCs w:val="24"/>
          <w:lang w:val="en-US"/>
        </w:rPr>
        <w:lastRenderedPageBreak/>
        <w:t xml:space="preserve">uses increasing marginal tax rates. This means that different tax rates apply on different portions of a person’s income. The concept can be illustrated with an example using the 2003 tax rates. For a single filer, the first $7,000 of taxable income (not total income or AGI) is taxed at a rate of 10%. Taxable income above $7,000 but less than $28,400 is taxed at a rate of 15%. Taxable income above $28,400 but less than $68,800 is taxed at a rate of 25%. Income above $68,800 is taxed at higher marginal rates – 28%, 33%, and 35%.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Not all income, however, is taxed at the same marginal rates. Investment income from capital gains has generally been taxed at a lower rate than income from labor. Dividend income used to be taxed at the same marginal rate as labor income but the Jobs and Growth Act of 2003 also taxes dividends at the lower capital gains rate. While the top marginal rate on labor income in 2003 was 35%, the top rate on capital gains and dividend income was only 15%. Given that the vast majority of investment income is earned by wealthy taxpayers, the lower </w:t>
      </w:r>
      <w:proofErr w:type="gramStart"/>
      <w:r w:rsidRPr="00C40532">
        <w:rPr>
          <w:rFonts w:ascii="Times New Roman" w:hAnsi="Times New Roman" w:cs="Times New Roman"/>
          <w:sz w:val="24"/>
          <w:szCs w:val="24"/>
          <w:lang w:val="en-US"/>
        </w:rPr>
        <w:t>rates on investment income has</w:t>
      </w:r>
      <w:proofErr w:type="gramEnd"/>
      <w:r w:rsidRPr="00C40532">
        <w:rPr>
          <w:rFonts w:ascii="Times New Roman" w:hAnsi="Times New Roman" w:cs="Times New Roman"/>
          <w:sz w:val="24"/>
          <w:szCs w:val="24"/>
          <w:lang w:val="en-US"/>
        </w:rPr>
        <w:t xml:space="preserve"> important implications for the progressivity of the federal income tax.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e) Social Insurance Taxes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Taxes for federal social insurance programs, including Social Security, Medicaid, and Medicare, are taxed separately from income. Social insurance taxes are levied on salaries and wages, as well as income from self-employment. For those employed by others, these taxes are generally deducted directly from their paycheck. These deductions commonly appear as “FICA” taxes – a reference to the Federal Insurance Contributions Act. Self-employed individuals must pay their social insurance taxes when they file their federal income tax returns.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Social insurance taxes are actually two separate taxes. The first is a tax of 12.4% of wages, which is primarily used to fund Social Security. Half of this tax is deducted from an employee’s paycheck while the employer is responsible for matching this contribution. The other is a tax of 2.9% for the Medicare program. Again, the employee and employer each pay half. Thus, social insurance taxes normally amount to a 7.65% deduction from an employee’s wage (6.2% + 1.45%). Self-employed individuals are responsible for paying the entire share, 15.3%, themselves.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There is a very important difference between these two taxes. The Social Security tax is due only on the first $84,900 (in 2002) of income. On income above $84,900, no additional Social Security tax is paid. In other words, the maximum Social Security tax in 2002 that would be deducted from total wages is $5,264 ($84,900 × 0.062). The Medicare tax, however, is paid on all wages. Thus, the Medicare tax is truly a flat tax while the Social Security tax is a flat tax on the first $84,900 of income but then becomes a regressive tax when we consider income above this limit.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Consider the impact of social insurance taxes on two individuals, one making a salary of $30,000 and another making $300,000. The typical worker would pay 7.65% on all income, or $2,295, in federal social insurance taxes. The high-income worker would pay the maximum Social Security contribution of $5,264 plus $4,350 for Medicare (1.45% of $300,000) for a total social insurance tax bill of $9,614. Note that this works out to a 3.2% overall tax rate, or less than half the tax rate paid by the typical worker. As the high-income individual pays a lower rate of taxation, we see that social insurance taxes are regressive.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f) Federal Corporate Taxes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Corporations must file federal tax forms that are in many ways similar to the forms individuals complete. Corporate taxable income is defined as total revenues minus the cost of goods sold, wages and salaries, depreciation, repairs, interest paid, and other deductions. Thus corporations, like individuals, can take advantage of many deductions to reduce their taxable </w:t>
      </w:r>
      <w:r w:rsidRPr="00C40532">
        <w:rPr>
          <w:rFonts w:ascii="Times New Roman" w:hAnsi="Times New Roman" w:cs="Times New Roman"/>
          <w:sz w:val="24"/>
          <w:szCs w:val="24"/>
          <w:lang w:val="en-US"/>
        </w:rPr>
        <w:lastRenderedPageBreak/>
        <w:t xml:space="preserve">income. In fact, a corporation may have so many deductions that it actually ends up paying no tax at all or even receives a rebate check from the federal government.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Corporate tax rates, like personal income tax rates, are progressive and calculated on a marginal basis. In 2002, the lowest corporate tax rate, applied to profits lower than $50,000 was 15%. The highest corporate tax rate, applied to profits over $10 million was 35%. As with individuals, the effective tax rate corporations pay is lower than their marginal tax rate.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g) Federal Excise Taxes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An excise tax is a tax on the production, sale, or use of a particular commodity. The federal government collects excise taxes from manufacturers and retailers for the production or sale of a surprising number of products including tires, telephone services, air travel, fossil fuels (including gasoline, diesel fuel, and aviation fuel), alcohol, tobacco, and firearms.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Unlike a sales tax, which is evident as an addition to the selling price of a product, excise taxes are normally incorporated into the price of a product. In most cases, consumers are not directly aware of the federal excise taxes they pay. However, every time you buy gas, make a phone call, fly in a commercial plane, or buy tobacco products, you are paying a federal excise tax. For example, the federal excise tax on gasoline as of 2003 was about 18 cents per gallon.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Federal excise taxes initially may appear to be an example of proportional taxation – everyone pays the same tax rate on goods subject to excise taxes. However, in practice excise taxes turn out to be regressive because lower-income households tend to spend a greater portion of their income on goods that are subject to federal excise taxes. This is particularly true for gasoline, tobacco, and alcohol products. </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h) Federal Estate and Gift Taxes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vast majority of Americans will never be affected by the federal estate or gift taxes. These taxes apply only to the wealthiest Americans. The estate tax is applied to transfers of large estates to beneficiaries. Currently, estates valued at less than $1 million ($2 million for couples) are totally exempt from the tax. The top marginal estate tax rate is 55% but, as with individual and corporate taxes, the effective tax rates on estate tend to be lower. Provisions of the estate tax laws reduce the tax burden for the transfer of small businesses and farms.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estate tax exemption amount is scheduled to increase over the next several years to $3.5 million ($7 million for couples) in 2009. In 2010, the estate tax is scheduled to expire but this expiration is only temporary – under current law the estate tax would be reinstated in 2011.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transfer of large gifts is also subject to federal taxation. The estate tax and gift tax are complementary because the gift tax essentially prevents people from giving away their estate to beneficiaries tax-free while they are still alive. In 2002, gifts under $11,000 were excluded from the tax. Similar to the federal income tax, the gift tax rates are marginal and progressive, with a maximum tax rate of 50%. The gift tax is also scheduled for temporary expiration in 2010.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estate and gift taxes are the most progressive element of federal taxation, paid exclusively by those with considerable assets. The majority of estate taxes are paid by a very small number of wealthy taxpayers. In 2000 over half of estate taxes were collected from estates worth more than $5 million, about 0.15% of all estates.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i) State and Local Taxes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Like the federal government, state governments also rely on tax revenues to fund public expenditures and transfer programs. Like the federal government, state governments rely on several different tax mechanisms including income taxes, excise taxes, and [[corporate tax</w:t>
      </w:r>
      <w:proofErr w:type="gramStart"/>
      <w:r w:rsidRPr="00C40532">
        <w:rPr>
          <w:rFonts w:ascii="Times New Roman" w:hAnsi="Times New Roman" w:cs="Times New Roman"/>
          <w:sz w:val="24"/>
          <w:szCs w:val="24"/>
          <w:lang w:val="en-US"/>
        </w:rPr>
        <w:t>]es</w:t>
      </w:r>
      <w:proofErr w:type="gramEnd"/>
      <w:r w:rsidRPr="00C40532">
        <w:rPr>
          <w:rFonts w:ascii="Times New Roman" w:hAnsi="Times New Roman" w:cs="Times New Roman"/>
          <w:sz w:val="24"/>
          <w:szCs w:val="24"/>
          <w:lang w:val="en-US"/>
        </w:rPr>
        <w:t xml:space="preserve">. Thus, much </w:t>
      </w:r>
      <w:r w:rsidRPr="00C40532">
        <w:rPr>
          <w:rFonts w:ascii="Times New Roman" w:hAnsi="Times New Roman" w:cs="Times New Roman"/>
          <w:sz w:val="24"/>
          <w:szCs w:val="24"/>
          <w:lang w:val="en-US"/>
        </w:rPr>
        <w:lastRenderedPageBreak/>
        <w:t xml:space="preserve">of the above discussion applies to the tax structures in place in most states. However, there are some important differences that deserve mention.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Forty-one states levy an income tax. Most of these states have several progressive tax brackets (up to 10 rates) similar to the federal income tax. However, state income taxes tend to be much less progressive than the federal income tax. Six states have only one income tax rate, meaning that their income tax approaches a flat tax. Several more states have what is effectively a single tax rate because the top rate applies at a very low income. For example, Maryland’s top rate of 4.75% kicks in at only $3,000 of income.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Another important distinction between the federal system of taxation and the taxes levied at state and local levels is use of property taxes. In fact, property taxes tend to be the largest revenue source for state and local governments. The primary property tax levied in the U.S. is a tax on real estate, including land, private residences, and commercial properties. Generally, the tax is an annual assessment calculated as a proportion of the value of the property, although the formulas used by localities differ significantly. Property taxes are commonly collected at a local level, but a share of property taxes is allocated for state purposes. Property taxes tend to be regressive, although less regressive than excise and sales taxes. The reason is that high-income households tend to have a lower proportion of their assets subjected to property taxes. While renters do not directly pay property taxes, most economists conclude that the costs of property taxes are largely passed on to renters in the form of higher rents.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Control questions:</w:t>
      </w:r>
    </w:p>
    <w:p w:rsidR="00472A60" w:rsidRPr="00C40532" w:rsidRDefault="00472A60" w:rsidP="00472A60">
      <w:pPr>
        <w:pStyle w:val="a4"/>
        <w:numPr>
          <w:ilvl w:val="0"/>
          <w:numId w:val="19"/>
        </w:numPr>
        <w:spacing w:after="0" w:line="240" w:lineRule="auto"/>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Analyze The US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economy</w:t>
      </w:r>
    </w:p>
    <w:p w:rsidR="00472A60" w:rsidRPr="00C40532" w:rsidRDefault="00472A60" w:rsidP="00472A60">
      <w:pPr>
        <w:pStyle w:val="a4"/>
        <w:numPr>
          <w:ilvl w:val="0"/>
          <w:numId w:val="19"/>
        </w:numPr>
        <w:spacing w:after="0" w:line="240" w:lineRule="auto"/>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Explain the US financial system</w:t>
      </w:r>
    </w:p>
    <w:p w:rsidR="00472A60" w:rsidRPr="00C40532" w:rsidRDefault="00472A60" w:rsidP="00472A60">
      <w:pPr>
        <w:pStyle w:val="a4"/>
        <w:numPr>
          <w:ilvl w:val="0"/>
          <w:numId w:val="19"/>
        </w:numPr>
        <w:spacing w:after="0" w:line="240" w:lineRule="auto"/>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Basic</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principles of the US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budget</w:t>
      </w:r>
    </w:p>
    <w:p w:rsidR="00472A60" w:rsidRPr="00C40532" w:rsidRDefault="00472A60" w:rsidP="00472A60">
      <w:pPr>
        <w:pStyle w:val="a4"/>
        <w:numPr>
          <w:ilvl w:val="0"/>
          <w:numId w:val="19"/>
        </w:numPr>
        <w:spacing w:after="0" w:line="240" w:lineRule="auto"/>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Revenues of the federal budget</w:t>
      </w:r>
      <w:r w:rsidRPr="00C40532">
        <w:rPr>
          <w:rFonts w:ascii="Times New Roman" w:hAnsi="Times New Roman" w:cs="Times New Roman"/>
          <w:sz w:val="24"/>
          <w:szCs w:val="24"/>
          <w:lang w:val="en-US"/>
        </w:rPr>
        <w:t>.</w:t>
      </w:r>
    </w:p>
    <w:p w:rsidR="00472A60" w:rsidRPr="00C40532" w:rsidRDefault="00472A60" w:rsidP="00472A60">
      <w:pPr>
        <w:pStyle w:val="a4"/>
        <w:numPr>
          <w:ilvl w:val="0"/>
          <w:numId w:val="19"/>
        </w:numPr>
        <w:spacing w:after="0" w:line="240" w:lineRule="auto"/>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Expenditures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budget</w:t>
      </w:r>
    </w:p>
    <w:p w:rsidR="00472A60" w:rsidRPr="00C40532" w:rsidRDefault="00472A60" w:rsidP="00472A60">
      <w:pPr>
        <w:pStyle w:val="a4"/>
        <w:numPr>
          <w:ilvl w:val="0"/>
          <w:numId w:val="19"/>
        </w:numPr>
        <w:spacing w:after="0" w:line="240" w:lineRule="auto"/>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Taxes in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USA</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0A0C98" w:rsidRDefault="000A0C98"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rPr>
      </w:pPr>
    </w:p>
    <w:p w:rsidR="00472A60" w:rsidRPr="000A0C98" w:rsidRDefault="00472A60" w:rsidP="00472A60">
      <w:pPr>
        <w:shd w:val="clear" w:color="auto" w:fill="FFFFFF"/>
        <w:tabs>
          <w:tab w:val="left" w:pos="180"/>
          <w:tab w:val="left" w:pos="870"/>
        </w:tabs>
        <w:spacing w:after="0" w:line="240" w:lineRule="auto"/>
        <w:jc w:val="center"/>
        <w:rPr>
          <w:rStyle w:val="hps"/>
          <w:rFonts w:ascii="Times New Roman" w:hAnsi="Times New Roman" w:cs="Times New Roman"/>
          <w:b/>
          <w:sz w:val="24"/>
          <w:szCs w:val="24"/>
          <w:lang w:val="en-US"/>
        </w:rPr>
      </w:pPr>
      <w:proofErr w:type="gramStart"/>
      <w:r w:rsidRPr="000A0C98">
        <w:rPr>
          <w:rStyle w:val="hps"/>
          <w:rFonts w:ascii="Times New Roman" w:hAnsi="Times New Roman" w:cs="Times New Roman"/>
          <w:b/>
          <w:sz w:val="24"/>
          <w:szCs w:val="24"/>
          <w:lang w:val="en-US"/>
        </w:rPr>
        <w:lastRenderedPageBreak/>
        <w:t>Theme 5.</w:t>
      </w:r>
      <w:proofErr w:type="gramEnd"/>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The financial system</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and financial policy</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Germany</w:t>
      </w:r>
    </w:p>
    <w:p w:rsidR="00472A60" w:rsidRPr="00C40532" w:rsidRDefault="00472A60" w:rsidP="00472A60">
      <w:pPr>
        <w:shd w:val="clear" w:color="auto" w:fill="FFFFFF"/>
        <w:tabs>
          <w:tab w:val="left" w:pos="180"/>
          <w:tab w:val="left" w:pos="870"/>
        </w:tabs>
        <w:spacing w:after="0" w:line="240" w:lineRule="auto"/>
        <w:rPr>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Lecture</w:t>
      </w:r>
      <w:r w:rsidRPr="00C40532">
        <w:rPr>
          <w:rFonts w:ascii="Times New Roman" w:hAnsi="Times New Roman" w:cs="Times New Roman"/>
          <w:sz w:val="24"/>
          <w:szCs w:val="24"/>
          <w:lang w:val="en-US"/>
        </w:rPr>
        <w:t xml:space="preserve"> 13.</w:t>
      </w:r>
      <w:proofErr w:type="gramEnd"/>
    </w:p>
    <w:p w:rsidR="00472A60" w:rsidRPr="00C40532" w:rsidRDefault="00472A60" w:rsidP="00472A60">
      <w:pPr>
        <w:shd w:val="clear" w:color="auto" w:fill="FFFFFF"/>
        <w:tabs>
          <w:tab w:val="left" w:pos="180"/>
          <w:tab w:val="left" w:pos="870"/>
        </w:tabs>
        <w:spacing w:after="0" w:line="240" w:lineRule="auto"/>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1.</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economic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political situation in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modern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Germany</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Its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role and place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the European Union</w:t>
      </w:r>
      <w:r w:rsidRPr="00C40532">
        <w:rPr>
          <w:rFonts w:ascii="Times New Roman" w:hAnsi="Times New Roman" w:cs="Times New Roman"/>
          <w:sz w:val="24"/>
          <w:szCs w:val="24"/>
          <w:lang w:val="en-US"/>
        </w:rPr>
        <w:t>.</w:t>
      </w: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2.</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financial</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system in Germany</w:t>
      </w:r>
      <w:r w:rsidRPr="00C40532">
        <w:rPr>
          <w:rFonts w:ascii="Times New Roman" w:hAnsi="Times New Roman" w:cs="Times New Roman"/>
          <w:sz w:val="24"/>
          <w:szCs w:val="24"/>
          <w:lang w:val="en-US"/>
        </w:rPr>
        <w:t>.</w:t>
      </w: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3.</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budget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budget structure</w:t>
      </w:r>
      <w:r w:rsidRPr="00C40532">
        <w:rPr>
          <w:rFonts w:ascii="Times New Roman" w:hAnsi="Times New Roman" w:cs="Times New Roman"/>
          <w:sz w:val="24"/>
          <w:szCs w:val="24"/>
          <w:lang w:val="en-US"/>
        </w:rPr>
        <w:t>.</w:t>
      </w:r>
      <w:r w:rsidRPr="00C40532">
        <w:rPr>
          <w:rStyle w:val="hps"/>
          <w:rFonts w:ascii="Times New Roman" w:hAnsi="Times New Roman" w:cs="Times New Roman"/>
          <w:sz w:val="24"/>
          <w:szCs w:val="24"/>
          <w:lang w:val="en-US"/>
        </w:rPr>
        <w:t xml:space="preserve"> </w:t>
      </w:r>
    </w:p>
    <w:p w:rsidR="00472A60" w:rsidRPr="00C40532" w:rsidRDefault="00472A60" w:rsidP="00472A60">
      <w:pPr>
        <w:spacing w:after="0" w:line="240" w:lineRule="auto"/>
        <w:rPr>
          <w:rStyle w:val="hps"/>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Lecture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14</w:t>
      </w:r>
      <w:r w:rsidRPr="00C40532">
        <w:rPr>
          <w:rFonts w:ascii="Times New Roman" w:hAnsi="Times New Roman" w:cs="Times New Roman"/>
          <w:sz w:val="24"/>
          <w:szCs w:val="24"/>
          <w:lang w:val="en-US"/>
        </w:rPr>
        <w:t>.</w:t>
      </w:r>
      <w:proofErr w:type="gramEnd"/>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1.</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Distribution of powers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between the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federation, the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Lander</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 local authorities</w:t>
      </w:r>
      <w:r w:rsidRPr="00C40532">
        <w:rPr>
          <w:rFonts w:ascii="Times New Roman" w:hAnsi="Times New Roman" w:cs="Times New Roman"/>
          <w:sz w:val="24"/>
          <w:szCs w:val="24"/>
          <w:lang w:val="en-US"/>
        </w:rPr>
        <w:t>.</w:t>
      </w: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2.</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tax system</w:t>
      </w:r>
      <w:r w:rsidRPr="00C40532">
        <w:rPr>
          <w:rFonts w:ascii="Times New Roman" w:hAnsi="Times New Roman" w:cs="Times New Roman"/>
          <w:sz w:val="24"/>
          <w:szCs w:val="24"/>
          <w:lang w:val="en-US"/>
        </w:rPr>
        <w:t xml:space="preserve">: structure, </w:t>
      </w:r>
      <w:r w:rsidRPr="00C40532">
        <w:rPr>
          <w:rStyle w:val="hps"/>
          <w:rFonts w:ascii="Times New Roman" w:hAnsi="Times New Roman" w:cs="Times New Roman"/>
          <w:sz w:val="24"/>
          <w:szCs w:val="24"/>
          <w:lang w:val="en-US"/>
        </w:rPr>
        <w:t>specifics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characteristics of the main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types of taxes</w:t>
      </w:r>
      <w:r w:rsidRPr="00C40532">
        <w:rPr>
          <w:rFonts w:ascii="Times New Roman" w:hAnsi="Times New Roman" w:cs="Times New Roman"/>
          <w:sz w:val="24"/>
          <w:szCs w:val="24"/>
          <w:lang w:val="en-US"/>
        </w:rPr>
        <w:t>.</w:t>
      </w: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2.</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Fiscal Federalism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German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experience</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Since the bulk of media and political attention has moved away from private financial institutions to focus on public debt issues, Germany has slowly secured a position as the key political actor in Europe. Political stability, sound public finance, and a strong trade surplus constitute what is widely regarded as a great economic success in the EU. But one should remember that in 2008, when the financial crisis hit Europe, German banks seemed the most fragile, and the government had to proceed to massive recapitalisations. To try to understand the world of German finance, our guest blogger Fabien Hassan, who is presently living in Berlin, comes back to the organisation of German banking.</w:t>
      </w: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By Fabien Hassan, guest poster* </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 </w:t>
      </w:r>
    </w:p>
    <w:p w:rsidR="00472A60" w:rsidRPr="00C40532" w:rsidRDefault="00472A60" w:rsidP="00472A60">
      <w:pPr>
        <w:spacing w:after="0" w:line="240" w:lineRule="auto"/>
        <w:rPr>
          <w:rStyle w:val="hps"/>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A conservative banking system?</w:t>
      </w:r>
      <w:proofErr w:type="gramEnd"/>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 activity of banking is supposed to be very simple: gathering deposits, and lending money. If you think of it that way, German Banks should have a competitive advantage because they are sitting on a pile of money. Since 2006, German households have been saving around 25% of their income. The comparison with other big economies is striking: in 2012, the French, the Italian and the Spaniards saved around 18%. In the UK, it’s a mere 10.8% (OECD, 2013).</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Theoretically, one might think that a higher saving rate might lead to improved financial stability. Yet, banking is now infinitely more complicated than that. In the 1960s, American bankers had an old saying that their profession was governed by the 3-6-3 Rule. Bankers would give 3% interest on depositors' accounts, lend the depositors money at 6% interest and then be playing golf at 3pm. In a way, the 3-6-3 rule still defines what one could call conservative banking. It is uncompetitive, risk-adverse, only moderately profitable, and possibly even boring. In the United States, there is a lot of literature on the sociological defeat of the old style of conservative banking, to the benefit of risk-taking traders and math geniuses. By contrast, German banks are still widely perceived as conservative, even though they embraced speculative market activities to the same extent as their European and American competitors.</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But if German finance is so conservative, why did the government have to commit 9.1% of its GDP to bank bailouts and recapitalisations? In October 2008, the German federal government established the Sonderfonds Finanzmarktstabilisierung (SoFFin), a €480 billion rescue package to provide guarantees and recapitalization.</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This revived an old controversy on the merits of the German banking system, and its main feature, the so-called “three pillars”. At this point, the debate is still open. Did it prove a resilient system that helped Germany resist a crisis that would have otherwise been worse? Or did it fail, forcing the </w:t>
      </w:r>
      <w:r w:rsidRPr="00C40532">
        <w:rPr>
          <w:rStyle w:val="hps"/>
          <w:rFonts w:ascii="Times New Roman" w:hAnsi="Times New Roman" w:cs="Times New Roman"/>
          <w:sz w:val="24"/>
          <w:szCs w:val="24"/>
          <w:lang w:val="en-US"/>
        </w:rPr>
        <w:lastRenderedPageBreak/>
        <w:t>government to bail out banks which should never have been so fragile, in a country with such a strong financial position?</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 </w:t>
      </w: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 three-pillar system</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 German banking system is characterised by an original three-pillar structure, composed of private commercial banks, public banks and cooperative banks:</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Private commercial banks.</w:t>
      </w:r>
      <w:proofErr w:type="gramEnd"/>
      <w:r w:rsidRPr="00C40532">
        <w:rPr>
          <w:rStyle w:val="hps"/>
          <w:rFonts w:ascii="Times New Roman" w:hAnsi="Times New Roman" w:cs="Times New Roman"/>
          <w:sz w:val="24"/>
          <w:szCs w:val="24"/>
          <w:lang w:val="en-US"/>
        </w:rPr>
        <w:t xml:space="preserve"> There are around 300 private banks in Germany but until the crisis, five major banks used to dominate the private sector: Commerzbank, Dresdner Bank, Deutsche Bank, Deutsche Postbank AG, and HypoVereinsbank. Those banks are highly internationalised, and focus on business clients and market activities. In total, the German commercial private sector represented only 36% of total assets in 2010 (Brämer &amp; </w:t>
      </w:r>
      <w:proofErr w:type="gramStart"/>
      <w:r w:rsidRPr="00C40532">
        <w:rPr>
          <w:rStyle w:val="hps"/>
          <w:rFonts w:ascii="Times New Roman" w:hAnsi="Times New Roman" w:cs="Times New Roman"/>
          <w:sz w:val="24"/>
          <w:szCs w:val="24"/>
          <w:lang w:val="en-US"/>
        </w:rPr>
        <w:t>ali.,</w:t>
      </w:r>
      <w:proofErr w:type="gramEnd"/>
      <w:r w:rsidRPr="00C40532">
        <w:rPr>
          <w:rStyle w:val="hps"/>
          <w:rFonts w:ascii="Times New Roman" w:hAnsi="Times New Roman" w:cs="Times New Roman"/>
          <w:sz w:val="24"/>
          <w:szCs w:val="24"/>
          <w:lang w:val="en-US"/>
        </w:rPr>
        <w:t xml:space="preserve"> 2011).</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During the crisis, the bigger banks came very close to bankruptcy, and had to be saved through publicly-overseen restructurings. Dresdner Bank and Deutsche Postbank AG were respectively taken over by Commerzbank and Deutsche Bank. So there are now only three major leaders. Commerzbank, in which the German State now owns 17%, is still trying to manage the consequences of the crisis and has only made a small profit for the first time since 2008 in 2013.</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 </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Public banks.</w:t>
      </w:r>
      <w:proofErr w:type="gramEnd"/>
      <w:r w:rsidRPr="00C40532">
        <w:rPr>
          <w:rStyle w:val="hps"/>
          <w:rFonts w:ascii="Times New Roman" w:hAnsi="Times New Roman" w:cs="Times New Roman"/>
          <w:sz w:val="24"/>
          <w:szCs w:val="24"/>
          <w:lang w:val="en-US"/>
        </w:rPr>
        <w:t xml:space="preserve"> The public banking sector is organised territorially and vertically: cities and local authorities own local Sparkassen, while Länder (regions) own Landesbanken. Other institutions include development banks, in German promotional banks (Förderbanken). German public banks aim to “complement the market where the state regards free market outcomes as insufficient and hence not socially acceptable” (VÖB, 2014). In 2001, the European Commission decided to put an end to the German system of state guarantees for public-law credit institutions (Anstaltslast and Gewährträgerhaftung), which was considered an illegal state aid because it resulted in cheaper funding. In 2001-02, a deal was found between German authorities, public banks, and the Commission. As a result, German law had to be changed and approximately 600 public banks made the transition to being without explicit state guarantees.</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How did that pillar resist the financial crisis? The resilience of Sparkassen has been remarkable. Of course, in 2008, they lost money. But as early as 2009, profits were already as high as 2007, while commercial banks were still losing money. To be fair, profits have never been very high in the public sector, which is logical since maximisation of profit is not the main objective.</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In stark contrast with local banks, regional banks, or Landesbanken, accumulated large amounts of losses which required deep restructuring and state interventions. Most famously, the bank of Baden-Württemberg had to take over the bank of Saxony, which was profoundly involved in the subprime crisis through an Irish subsidy. How and why public entities engaged in massive speculation on risky products fuelled a big controversy in Germany. Most Landesbanken had unstable structures of wholesale financing, excessively dependent on short-term funding. Consumers and small businesses were appalled by the behaviour of their local bankers, who put so much insistence on trust and differentiation with private-sector giants like DB. Part of the explanation may lie in a loophole </w:t>
      </w:r>
      <w:r w:rsidRPr="00C40532">
        <w:rPr>
          <w:rStyle w:val="hps"/>
          <w:rFonts w:ascii="Times New Roman" w:hAnsi="Times New Roman" w:cs="Times New Roman"/>
          <w:sz w:val="24"/>
          <w:szCs w:val="24"/>
          <w:lang w:val="en-US"/>
        </w:rPr>
        <w:lastRenderedPageBreak/>
        <w:t>induced by the transition arrangements implemented by the Commission in 2001. “For liabilities created between 19 July 2001 and 18 July 2005, Gewährträgerhaftung [state guarantee] will be maintained only for those maturing before the end of 2015” (European Commission, 2001). So between 2001 and 2005, with a strong acceleration after 2003, some Landesbanken borrowed as much as possible with public guarantee, and used that money to speculate. They thought that this strategy might help to smooth the transition.</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There is now an academic and political debate on the future of Landesbanken. Is it just that governance was too lax, and favoured excessive risk-taking? In any case, public banks have maintained a strong position: at the end of 2012, they still had an overall market share of 36% (VÖB, 2014).</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 </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Cooperative banks.</w:t>
      </w:r>
      <w:proofErr w:type="gramEnd"/>
      <w:r w:rsidRPr="00C40532">
        <w:rPr>
          <w:rStyle w:val="hps"/>
          <w:rFonts w:ascii="Times New Roman" w:hAnsi="Times New Roman" w:cs="Times New Roman"/>
          <w:sz w:val="24"/>
          <w:szCs w:val="24"/>
          <w:lang w:val="en-US"/>
        </w:rPr>
        <w:t xml:space="preserve"> They are the most numerous: 1,162 in 2010 (Brämer &amp; </w:t>
      </w:r>
      <w:proofErr w:type="gramStart"/>
      <w:r w:rsidRPr="00C40532">
        <w:rPr>
          <w:rStyle w:val="hps"/>
          <w:rFonts w:ascii="Times New Roman" w:hAnsi="Times New Roman" w:cs="Times New Roman"/>
          <w:sz w:val="24"/>
          <w:szCs w:val="24"/>
          <w:lang w:val="en-US"/>
        </w:rPr>
        <w:t>ali.,</w:t>
      </w:r>
      <w:proofErr w:type="gramEnd"/>
      <w:r w:rsidRPr="00C40532">
        <w:rPr>
          <w:rStyle w:val="hps"/>
          <w:rFonts w:ascii="Times New Roman" w:hAnsi="Times New Roman" w:cs="Times New Roman"/>
          <w:sz w:val="24"/>
          <w:szCs w:val="24"/>
          <w:lang w:val="en-US"/>
        </w:rPr>
        <w:t xml:space="preserve"> 2011). They are owned by their customers and follow the cooperative principle of one person, one vote. They mostly aim to serve the interests of their members, usually farmers or small businesses. It does not prevent them from trying to make profits by providing services such as savings and loans to members as well as to non-members, which represent about half of their customers.</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Obviously, cooperative banking was not directly impacted by the global turmoil of 2008. Considering the state of the economy, cooperative banks did remarkably well. Even in 2008, the worst year of the crisis, they managed to make a small profit. In 2012, net profits reached EUR 6.9 billion. The difficulties of the major banks and the moral disapprobation of customers benefited cooperative banks.</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For regulators, an important issue now is the impact of new regulation on cooperative banking, including recognition of the special nature of their share capital (BVR, 2012).</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 </w:t>
      </w: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A tradition of self-regulation</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Germany has more banks than any other country in the EU. In the 1990s, that dispersion was considered a drawback for the economy. Everywhere in the EU, the number of banks has been constantly declining. But in Germany, that movement was extremely strong. There were 4,582 banks in </w:t>
      </w:r>
      <w:proofErr w:type="gramStart"/>
      <w:r w:rsidRPr="00C40532">
        <w:rPr>
          <w:rStyle w:val="hps"/>
          <w:rFonts w:ascii="Times New Roman" w:hAnsi="Times New Roman" w:cs="Times New Roman"/>
          <w:sz w:val="24"/>
          <w:szCs w:val="24"/>
          <w:lang w:val="en-US"/>
        </w:rPr>
        <w:t>1990,</w:t>
      </w:r>
      <w:proofErr w:type="gramEnd"/>
      <w:r w:rsidRPr="00C40532">
        <w:rPr>
          <w:rStyle w:val="hps"/>
          <w:rFonts w:ascii="Times New Roman" w:hAnsi="Times New Roman" w:cs="Times New Roman"/>
          <w:sz w:val="24"/>
          <w:szCs w:val="24"/>
          <w:lang w:val="en-US"/>
        </w:rPr>
        <w:t xml:space="preserve"> and only 1,898 in 2011. Despite that concentration, in 2011, 24% of the banks in the EU are German. On average, they are small, and they own 18% of total EU-27 assets (EBF, 2013). According to an IMF technical note, the high number of banks “is somewhat misleading because the public sector and cooperative banks are closely linked to one another within their respective pillars, through mutual guarantees, the “regional principle,” joint operation of certain businesses and back-office facilities, and the presence of apex institutions, such as the Landesbanken for the Sparkassen”.</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 number of banks and the decentralised political system of federal Germany help explain the strong tradition of self-regulation. Bankers continue to behave not only according to principles of law, but also to sectorial agreements. For example, cooperative banks are not legally bound anymore by the principal of territoriality, which keeps them from collecting deposits or giving out loans outside of a certain area. But in practice, they still abide by the rule.</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lastRenderedPageBreak/>
        <w:t>Another important example is the deposit protection scheme. Each of the four banking associations has implemented voluntary schemes, which go beyond the European minimum of EUR 100,000. For example, the Association of German Banks (Bankenverband) secures up to a ceiling of 30% of the relevant liable capital of each bank. This is why they opposed some parts of the proposed Banking Union: German banks are reluctant to move to an integrated European scheme. They believe that their own system has proved more efficient, and that since their system is not purely law-based, it cannot be transplanted as such, and will require a lot of adaptations. Furthermore, the competition from public institutions has made German banks structurally less profitable than the European average, which provides fewer margins for stronger regulatory requirements.</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 </w:t>
      </w: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German fondness to its banking system</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 three-pillar system has survived the financial crisis. Now it faces a new challenge: adapt to the regulatory changes that are and will continue to be implemented to restore the stability of the European financial industry. In the crisis, German banks have had mixed results. But the problems were essentially the same as everywhere else: excessive risk-taking, and speculative activities that were completely out of line.</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However, despite the scandals involving some of the major Landesbanken, the Germans have proven their attachment to the three-pillar system. Indeed, not all Landesbanken have behaved like the Saxon one. More importantly, small and medium-sized businesses, which are often pinpointed as the great success of the German economic model, largely continue to rely on financing from cooperative and public banks (see forthcoming article). To understand Germany’s stance on debates such as Banking Union, and in particular why Landesbanken have opposed common supervision and higher capital ratios, it is essential to keep in mind the peculiarities of a banking system which, to a large extent, is not or at least should not be entirely ruled by the maximisation of profits.</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Generally, most observers recognize that the reforms of the 1990s have addressed most of the shortcomings of public governance. Therefore, assessments are usually positive: “German consumers and firms benefit from a system that provides good range and availability of financial services. […]. Thus, German intermediaries may be able to increase social welfare through the provision of services and intertemporal smoothing of returns that a more short-term oriented market has limited incentive to provide” (IMF, 2011).</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 xml:space="preserve"> </w:t>
      </w: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Lessons from the German banking system</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What can be learned from the analysis of the resilience and the fragilities of German banks during the crisis?</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First, banks that do not exclusively seek profit are useful to society. Small businesses and consumers benefit from the presence of alternative sources of funding, like public and cooperative banks. German politicians and bankers acknowledge the existence of market failures. This is why despite 25 years of constant reform, “the level of public involvement in the system remains substantially unchanged and continues to be much higher than in other EU countries” (IMF, 2011).</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lastRenderedPageBreak/>
        <w:t>The second lesson is that despite that diversity, different types of banks have taken excessive risks during the crisis. Regulation should therefore to the maximum extent possible treat all banks equally.</w:t>
      </w:r>
    </w:p>
    <w:p w:rsidR="00472A60" w:rsidRPr="00C40532" w:rsidRDefault="00472A60" w:rsidP="00472A60">
      <w:pPr>
        <w:spacing w:after="0" w:line="240" w:lineRule="auto"/>
        <w:rPr>
          <w:rStyle w:val="hps"/>
          <w:rFonts w:ascii="Times New Roman" w:hAnsi="Times New Roman" w:cs="Times New Roman"/>
          <w:sz w:val="24"/>
          <w:szCs w:val="24"/>
          <w:lang w:val="en-US"/>
        </w:rPr>
      </w:pPr>
    </w:p>
    <w:p w:rsidR="00472A60" w:rsidRPr="00C40532" w:rsidRDefault="00472A60" w:rsidP="00472A60">
      <w:pPr>
        <w:spacing w:after="0" w:line="240" w:lineRule="auto"/>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Finally, it is interesting to notice that European competition authorities removed formal public guarantee for public banks in 2001, based on strong arguments of unfair competition. But the massive government recapitalisations of 2008 show that there is still an implicit guarantee, and that it foremost benefits private commercial banks. The outcome is a highly unsatisfying paradox: one may wonder why public banks, which are legally bound to pursue public interest, are now less protected than private ‘too-big-to-fail’ institutions which only seek their own profit. In this sense, Germany, as all members of the EU, would clearly benefit from a reform of the EU banking structure, as advocated by Finance Watch, among others.</w:t>
      </w:r>
    </w:p>
    <w:p w:rsidR="00472A60" w:rsidRPr="00DF3344" w:rsidRDefault="00472A60"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0A0C98" w:rsidRDefault="00472A60" w:rsidP="00472A60">
      <w:pPr>
        <w:shd w:val="clear" w:color="auto" w:fill="FFFFFF"/>
        <w:tabs>
          <w:tab w:val="left" w:pos="180"/>
        </w:tabs>
        <w:spacing w:after="0" w:line="240" w:lineRule="auto"/>
        <w:jc w:val="center"/>
        <w:rPr>
          <w:rStyle w:val="hps"/>
          <w:rFonts w:ascii="Times New Roman" w:hAnsi="Times New Roman" w:cs="Times New Roman"/>
          <w:b/>
          <w:sz w:val="24"/>
          <w:szCs w:val="24"/>
          <w:lang w:val="en-US"/>
        </w:rPr>
      </w:pPr>
      <w:proofErr w:type="gramStart"/>
      <w:r w:rsidRPr="000A0C98">
        <w:rPr>
          <w:rStyle w:val="hps"/>
          <w:rFonts w:ascii="Times New Roman" w:hAnsi="Times New Roman" w:cs="Times New Roman"/>
          <w:b/>
          <w:sz w:val="24"/>
          <w:szCs w:val="24"/>
          <w:lang w:val="en-US"/>
        </w:rPr>
        <w:lastRenderedPageBreak/>
        <w:t>Topic 6.</w:t>
      </w:r>
      <w:proofErr w:type="gramEnd"/>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Fundamentals of</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the operation</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public finances</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France</w:t>
      </w:r>
    </w:p>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1.</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economic situation in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France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today.</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units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p>
    <w:p w:rsidR="00472A60" w:rsidRPr="00C40532" w:rsidRDefault="00472A60" w:rsidP="00472A60">
      <w:pPr>
        <w:shd w:val="clear" w:color="auto" w:fill="FFFFFF"/>
        <w:tabs>
          <w:tab w:val="left" w:pos="180"/>
        </w:tabs>
        <w:spacing w:after="0" w:line="240" w:lineRule="auto"/>
        <w:jc w:val="both"/>
        <w:rPr>
          <w:rFonts w:ascii="Times New Roman" w:hAnsi="Times New Roman" w:cs="Times New Roman"/>
          <w:b/>
          <w:spacing w:val="-9"/>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State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France</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The composition and structure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income and expenses</w:t>
      </w:r>
      <w:r w:rsidRPr="00C40532">
        <w:rPr>
          <w:rFonts w:ascii="Times New Roman" w:hAnsi="Times New Roman" w:cs="Times New Roman"/>
          <w:b/>
          <w:sz w:val="24"/>
          <w:szCs w:val="24"/>
          <w:lang w:val="en-US"/>
        </w:rPr>
        <w:t>.</w:t>
      </w:r>
      <w:proofErr w:type="gramEnd"/>
      <w:r w:rsidRPr="00C40532">
        <w:rPr>
          <w:rFonts w:ascii="Times New Roman" w:hAnsi="Times New Roman" w:cs="Times New Roman"/>
          <w:b/>
          <w:sz w:val="24"/>
          <w:szCs w:val="24"/>
          <w:lang w:val="en-US"/>
        </w:rPr>
        <w:br/>
      </w:r>
      <w:r w:rsidRPr="00C40532">
        <w:rPr>
          <w:rStyle w:val="hps"/>
          <w:rFonts w:ascii="Times New Roman" w:hAnsi="Times New Roman" w:cs="Times New Roman"/>
          <w:sz w:val="24"/>
          <w:szCs w:val="24"/>
          <w:lang w:val="en-US"/>
        </w:rPr>
        <w:t>3. State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 funds.</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Attached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budgets.</w:t>
      </w:r>
      <w:proofErr w:type="gramEnd"/>
    </w:p>
    <w:p w:rsidR="00472A60" w:rsidRPr="00C40532" w:rsidRDefault="00472A60" w:rsidP="00472A60">
      <w:pPr>
        <w:shd w:val="clear" w:color="auto" w:fill="FFFFFF"/>
        <w:spacing w:after="0" w:line="240" w:lineRule="auto"/>
        <w:ind w:right="22"/>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4.</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revenues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expenditures of local budgets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their importance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financing</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social infrastructure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area</w:t>
      </w:r>
    </w:p>
    <w:p w:rsidR="00472A60" w:rsidRPr="00C40532" w:rsidRDefault="00472A60" w:rsidP="00472A60">
      <w:pPr>
        <w:shd w:val="clear" w:color="auto" w:fill="FFFFFF"/>
        <w:spacing w:after="0" w:line="240" w:lineRule="auto"/>
        <w:ind w:right="22"/>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Specifics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tax system</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Characteristics of the main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types of taxes</w:t>
      </w:r>
      <w:r w:rsidRPr="00C40532">
        <w:rPr>
          <w:rFonts w:ascii="Times New Roman" w:hAnsi="Times New Roman" w:cs="Times New Roman"/>
          <w:b/>
          <w:sz w:val="24"/>
          <w:szCs w:val="24"/>
          <w:lang w:val="en-US"/>
        </w:rPr>
        <w:t>.</w:t>
      </w:r>
      <w:proofErr w:type="gramEnd"/>
    </w:p>
    <w:p w:rsidR="00472A60" w:rsidRPr="00C40532" w:rsidRDefault="00472A60" w:rsidP="00472A60">
      <w:pPr>
        <w:shd w:val="clear" w:color="auto" w:fill="FFFFFF"/>
        <w:spacing w:after="0" w:line="240" w:lineRule="auto"/>
        <w:ind w:right="22"/>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6.</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Problems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functioning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French</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public finances and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problems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at the present stage</w:t>
      </w:r>
    </w:p>
    <w:p w:rsidR="00472A60" w:rsidRPr="00C40532" w:rsidRDefault="00472A60" w:rsidP="00472A60">
      <w:pPr>
        <w:shd w:val="clear" w:color="auto" w:fill="FFFFFF"/>
        <w:tabs>
          <w:tab w:val="left" w:pos="180"/>
        </w:tabs>
        <w:spacing w:after="0" w:line="240" w:lineRule="auto"/>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426"/>
        </w:tabs>
        <w:spacing w:after="0" w:line="240" w:lineRule="auto"/>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ab/>
        <w:t>1.</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economic situation in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France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today.</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units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p>
    <w:p w:rsidR="00472A60" w:rsidRPr="00C40532" w:rsidRDefault="00472A60" w:rsidP="00472A60">
      <w:pPr>
        <w:tabs>
          <w:tab w:val="left" w:pos="567"/>
        </w:tabs>
        <w:spacing w:after="0" w:line="240" w:lineRule="auto"/>
        <w:jc w:val="both"/>
        <w:rPr>
          <w:rFonts w:ascii="Times New Roman" w:hAnsi="Times New Roman" w:cs="Times New Roman"/>
          <w:sz w:val="24"/>
          <w:szCs w:val="24"/>
          <w:shd w:val="clear" w:color="auto" w:fill="FFFFFF"/>
          <w:lang w:val="en-US"/>
        </w:rPr>
      </w:pPr>
      <w:r w:rsidRPr="00C40532">
        <w:rPr>
          <w:rFonts w:ascii="Times New Roman" w:hAnsi="Times New Roman" w:cs="Times New Roman"/>
          <w:sz w:val="24"/>
          <w:szCs w:val="24"/>
          <w:lang w:val="en-US"/>
        </w:rPr>
        <w:tab/>
      </w:r>
      <w:r w:rsidRPr="00C40532">
        <w:rPr>
          <w:rFonts w:ascii="Times New Roman" w:hAnsi="Times New Roman" w:cs="Times New Roman"/>
          <w:sz w:val="24"/>
          <w:szCs w:val="24"/>
          <w:shd w:val="clear" w:color="auto" w:fill="FFFFFF"/>
          <w:lang w:val="en-US"/>
        </w:rPr>
        <w:t xml:space="preserve">France is one of the most richly endowed countries of Europe. The favorable climate, extensive areas of rich soil, and long-established tradition of skilled agriculture have created ideal conditions for a thriving farm economy. Agriculture and the agro-food industries account for a larger share of economic activity than in many other west European nations. Large deposits of iron ore, a wellintegrated network of power plants, </w:t>
      </w:r>
      <w:proofErr w:type="gramStart"/>
      <w:r w:rsidRPr="00C40532">
        <w:rPr>
          <w:rFonts w:ascii="Times New Roman" w:hAnsi="Times New Roman" w:cs="Times New Roman"/>
          <w:sz w:val="24"/>
          <w:szCs w:val="24"/>
          <w:shd w:val="clear" w:color="auto" w:fill="FFFFFF"/>
          <w:lang w:val="en-US"/>
        </w:rPr>
        <w:t>important</w:t>
      </w:r>
      <w:proofErr w:type="gramEnd"/>
      <w:r w:rsidRPr="00C40532">
        <w:rPr>
          <w:rFonts w:ascii="Times New Roman" w:hAnsi="Times New Roman" w:cs="Times New Roman"/>
          <w:sz w:val="24"/>
          <w:szCs w:val="24"/>
          <w:shd w:val="clear" w:color="auto" w:fill="FFFFFF"/>
          <w:lang w:val="en-US"/>
        </w:rPr>
        <w:t xml:space="preserve"> domestic reserves of natural gas, good transport, and high standards of industrial workmanship have made the French industrial complex one of the most modern in Europe.</w:t>
      </w:r>
    </w:p>
    <w:p w:rsidR="00472A60" w:rsidRPr="00C40532" w:rsidRDefault="00472A60" w:rsidP="00472A60">
      <w:pPr>
        <w:tabs>
          <w:tab w:val="left" w:pos="567"/>
        </w:tabs>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shd w:val="clear" w:color="auto" w:fill="FFFFFF"/>
          <w:lang w:val="en-US"/>
        </w:rPr>
        <w:tab/>
      </w:r>
      <w:r w:rsidRPr="00C40532">
        <w:rPr>
          <w:rFonts w:ascii="Times New Roman" w:hAnsi="Times New Roman" w:cs="Times New Roman"/>
          <w:sz w:val="24"/>
          <w:szCs w:val="24"/>
          <w:lang w:val="en-US"/>
        </w:rPr>
        <w:t>After World War II, France's economy was stronger than it had been in the period between the two world wars. But on the debit side were the extremely high costs of France's colonial campaigns in Indochina and North Africa; the periodic lack of confidence of French investors in the nation's economy, resulting in the largescale flight of funds; and the successive devaluations of the franc.</w:t>
      </w:r>
    </w:p>
    <w:p w:rsidR="00472A60" w:rsidRPr="00C40532" w:rsidRDefault="00472A60" w:rsidP="00472A60">
      <w:pPr>
        <w:tabs>
          <w:tab w:val="left" w:pos="567"/>
        </w:tabs>
        <w:spacing w:after="0" w:line="240" w:lineRule="auto"/>
        <w:jc w:val="both"/>
        <w:rPr>
          <w:rFonts w:ascii="Times New Roman" w:hAnsi="Times New Roman" w:cs="Times New Roman"/>
          <w:sz w:val="24"/>
          <w:szCs w:val="24"/>
          <w:shd w:val="clear" w:color="auto" w:fill="FFFFFF"/>
          <w:lang w:val="en-US"/>
        </w:rPr>
      </w:pPr>
      <w:r w:rsidRPr="00C40532">
        <w:rPr>
          <w:rFonts w:ascii="Times New Roman" w:hAnsi="Times New Roman" w:cs="Times New Roman"/>
          <w:sz w:val="24"/>
          <w:szCs w:val="24"/>
          <w:lang w:val="en-US"/>
        </w:rPr>
        <w:tab/>
        <w:t>Through most of the 1960s and early 1970s, the French economy expanded steadily, with</w:t>
      </w:r>
      <w:r w:rsidRPr="00C40532">
        <w:rPr>
          <w:rStyle w:val="apple-converted-space"/>
          <w:rFonts w:ascii="Times New Roman" w:hAnsi="Times New Roman" w:cs="Times New Roman"/>
          <w:sz w:val="24"/>
          <w:szCs w:val="24"/>
          <w:lang w:val="en-US"/>
        </w:rPr>
        <w:t> </w:t>
      </w:r>
      <w:r w:rsidR="00AA3725">
        <w:fldChar w:fldCharType="begin"/>
      </w:r>
      <w:r w:rsidR="00AA3725" w:rsidRPr="003E0431">
        <w:rPr>
          <w:lang w:val="en-US"/>
        </w:rPr>
        <w:instrText>HYPERLINK "http://www.encyclopedia.com/social-sciences-and-law/economics-business-and-labor/economics-terms-and-concepts/gross-domestic"</w:instrText>
      </w:r>
      <w:r w:rsidR="00AA3725">
        <w:fldChar w:fldCharType="separate"/>
      </w:r>
      <w:r w:rsidRPr="00C40532">
        <w:rPr>
          <w:rStyle w:val="a5"/>
          <w:rFonts w:ascii="Times New Roman" w:hAnsi="Times New Roman" w:cs="Times New Roman"/>
          <w:sz w:val="24"/>
          <w:szCs w:val="24"/>
          <w:lang w:val="en-US"/>
        </w:rPr>
        <w:t>GDP</w:t>
      </w:r>
      <w:r w:rsidR="00AA3725">
        <w:fldChar w:fldCharType="end"/>
      </w:r>
      <w:r w:rsidRPr="00C40532">
        <w:rPr>
          <w:rStyle w:val="apple-converted-space"/>
          <w:rFonts w:ascii="Times New Roman" w:hAnsi="Times New Roman" w:cs="Times New Roman"/>
          <w:sz w:val="24"/>
          <w:szCs w:val="24"/>
          <w:lang w:val="en-US"/>
        </w:rPr>
        <w:t> </w:t>
      </w:r>
      <w:r w:rsidRPr="00C40532">
        <w:rPr>
          <w:rFonts w:ascii="Times New Roman" w:hAnsi="Times New Roman" w:cs="Times New Roman"/>
          <w:sz w:val="24"/>
          <w:szCs w:val="24"/>
          <w:lang w:val="en-US"/>
        </w:rPr>
        <w:t>more than doubling between 1959 and 1967. However, the international oil crisis of 1974 led to a sharp rise in import costs; the resulting inflation eroded real growth to about 3% annually between 1977 and 1979. Further oil price increases in 1979–80 marked the beginning of a prolonged recession, with high inflation, high unemployment, balance-of-payments deficits, declining private investment, and shortages in foreign exchange reserves. However, GDP grew by an annual average of 2.5% between 1984 and 1991. During the early 1990s, GDP expanded by an average 2%, a modest rate. By the late 1990s, however, the economy began to record higher growth rates. In 1998 the French economy grew by 3.3% in real terms. Unemployment, however, remained high at 11.5%. To combat this, the Socialist-led coalition of Lionel Jospin enacted legislation cutting the work week to 35 hours in 2000. This measure, along with other incentives, resulted in unemployment falling under 10% as over 400,000 new jobs were created in the first half of 2000. In 2002, GDP growth was low (1%), due to the global economic slowdown and a decline in investment. However, France's exports increased at a greater rate than imports, fueling the economy. France in 2002 fell from being the world's fourth-largest industrialized economy to fifth, being replaced by the United Kingdom. In 2004, France had a $1.737 trillion economy, in purchasing power parity terms. In 2004, real GDP growth was 1.9%. In 2005, real GDP growth was expected to slow to 1.4%, before picking up to 1.6% in 2006 and 2.2% in 2007.</w:t>
      </w:r>
    </w:p>
    <w:p w:rsidR="00472A60" w:rsidRPr="00C40532" w:rsidRDefault="00472A60" w:rsidP="00472A60">
      <w:pPr>
        <w:pStyle w:val="a6"/>
        <w:shd w:val="clear" w:color="auto" w:fill="FFFFFF"/>
        <w:spacing w:before="0" w:beforeAutospacing="0" w:after="0" w:afterAutospacing="0"/>
        <w:ind w:firstLine="708"/>
        <w:jc w:val="both"/>
        <w:rPr>
          <w:lang w:val="en-US"/>
        </w:rPr>
      </w:pPr>
      <w:r w:rsidRPr="00C40532">
        <w:rPr>
          <w:lang w:val="en-US"/>
        </w:rPr>
        <w:t xml:space="preserve">France and the United States are the world's top two exporting countries in defense products, agricultural goods, and services. Taxes remain the highest in the G-8 industrialized countries, and the tax structure is seen as a hindrance to business activity. The fastest-growing sectors of the economy have been telecommunications, aerospace, consulting services, meat and milk products, public works, insurance and financial services, and recreation, culture, and sports. Although the </w:t>
      </w:r>
      <w:r w:rsidRPr="00C40532">
        <w:rPr>
          <w:lang w:val="en-US"/>
        </w:rPr>
        <w:lastRenderedPageBreak/>
        <w:t>government has privatized many large companies, banks, and insurers, it still controls large sectors of the economy, including energy, transportation, and the defense industry.</w:t>
      </w:r>
    </w:p>
    <w:p w:rsidR="00472A60" w:rsidRPr="00C40532" w:rsidRDefault="00472A60" w:rsidP="00472A60">
      <w:pPr>
        <w:tabs>
          <w:tab w:val="left" w:pos="895"/>
        </w:tabs>
        <w:spacing w:after="0" w:line="240" w:lineRule="auto"/>
        <w:jc w:val="both"/>
        <w:rPr>
          <w:rFonts w:ascii="Times New Roman" w:hAnsi="Times New Roman" w:cs="Times New Roman"/>
          <w:sz w:val="24"/>
          <w:szCs w:val="24"/>
          <w:shd w:val="clear" w:color="auto" w:fill="FFFFFF"/>
          <w:lang w:val="en-US"/>
        </w:rPr>
      </w:pPr>
      <w:r w:rsidRPr="00C40532">
        <w:rPr>
          <w:rFonts w:ascii="Times New Roman" w:hAnsi="Times New Roman" w:cs="Times New Roman"/>
          <w:sz w:val="24"/>
          <w:szCs w:val="24"/>
          <w:shd w:val="clear" w:color="auto" w:fill="FFFFFF"/>
          <w:lang w:val="en-US"/>
        </w:rPr>
        <w:tab/>
        <w:t>The French social model, characterized by heavy state involvement in the economy, a tax on wealth, and generous benefits for workers, has proved to be a strong disincentive to growth and job creation. Unemployment, at 9.8% in September 2005, is double that in the United Kingdom. The pension system and rising healthcare costs strain public finances. Attempts to liberalize the economy have met strong resistance from labor unions and the left. Pension reforms proposed by the government of Jean-Pierre Raffarin in early 2003 were met by huge protests and strikes in France. Discontent with the economy played a large role in France's rejection of the EU constitution in May 2005. Dominique de Villepin, who became prime minister after the EU vote, promised to focus on unemployment and was in the process of engineering the sale of parts of Gaz de France and Electricité</w:t>
      </w:r>
      <w:r w:rsidRPr="00C40532">
        <w:rPr>
          <w:rStyle w:val="apple-converted-space"/>
          <w:rFonts w:ascii="Times New Roman" w:hAnsi="Times New Roman" w:cs="Times New Roman"/>
          <w:sz w:val="24"/>
          <w:szCs w:val="24"/>
          <w:shd w:val="clear" w:color="auto" w:fill="FFFFFF"/>
          <w:lang w:val="en-US"/>
        </w:rPr>
        <w:t> </w:t>
      </w:r>
      <w:r w:rsidRPr="00C40532">
        <w:rPr>
          <w:rFonts w:ascii="Times New Roman" w:hAnsi="Times New Roman" w:cs="Times New Roman"/>
          <w:sz w:val="24"/>
          <w:szCs w:val="24"/>
          <w:shd w:val="clear" w:color="auto" w:fill="FFFFFF"/>
          <w:lang w:val="en-US"/>
        </w:rPr>
        <w:t>de France (the world's largest generator of nuclear power) to help compensate for state deficits. Violent unrest in hundreds of towns erupted in the fall of 2005, triggered by frustration over high unemployment among urban youth. Politicians were faced with the challenge to craft social and economic policies to address the underlying causes of the rioting, which was centered in communities with large African and Arab populations, where youth unemployment reportedly approached 40% (and stood at 25% in the country overall).</w:t>
      </w:r>
    </w:p>
    <w:p w:rsidR="00472A60" w:rsidRPr="00C40532" w:rsidRDefault="00472A60" w:rsidP="00472A60">
      <w:pPr>
        <w:tabs>
          <w:tab w:val="left" w:pos="567"/>
        </w:tabs>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b/>
        <w:t>The French banking regulations prompted by the crisis of the 1930s were not radical. The original legislation that set up the structure of the banking network in 1885 with the establishment of savings banks was further strengthened in 1941 with the adoption of the first banking law. In 1945, the banks were separated into three categories (i.e. deposit banks, investment banks and medium and long-term lending banks) with each category being specialized into specific activities. In the post-war period, the organization of the banking system was driven by the need to finance reconstruction. Alongside the nationalization process of banks, the French authorities multiplied the incentives for non-financial agents (households in particular) to increase their savings and tried to steer these, through the specialization and supervision of financial intermediaries, towards certain areas — e.g. housing and the productive investment of resident companies. In addition, from the 1970s, regulated interest rates and monetary controls were overseen by government supervisors. The extent of financial regulation by the State until the 1980s in France is interesting with respect to early-bird legislation about financial liberalization. The free movement of capital was included in Law n°66-1008 (known as Debré law) of 28 December 1966. It stated that “financial relations with foreign countries were free in due respect of international commitments signed by France”. Nevertheless, article 3 authorized “temporary exceptions” to free movements of capital. “Temporary” measures, like exchange controls, continued until 1989! To summarize, at the very beginning of the 1980s, the French financial system was relatively closed, highly regulated and compartmentalized. The State played a significant role in the organization and functioning of the system. In the early 1980s, two phenomena posed a challenge to the French financial and banking system. First, the need for international openness pushed the French authorities to make fundamental changes to the structure of the country’s financial system. In the 1970s, global interest rates rose more than the French rates, meaning that exchange controls became increasingly necessary to maintain low interest rates in France. This intensified the contradiction between the tighter controls needed to maintain the financial system and the openness required by European and global economic integration. Second, the French banking system was facing a serious crisis in this period. This crisis was due to international developments (with the US disinflation policy leading to higher real interest rates, along with the international debt crisis of the developing countries and the first Mexican crisis) and to the inconsistent structure and poor profitability of the banking system. The model of universal banking (recommended by the Mayoux report in 1979) had not yet been fully incorporated into the French banking practice, and it was not until the Banking Act of 1984 and deregulation allowed the French banking and financial sectors to undergo a major transformation.</w:t>
      </w:r>
    </w:p>
    <w:p w:rsidR="00472A60" w:rsidRPr="00C40532" w:rsidRDefault="00472A60" w:rsidP="00472A60">
      <w:pPr>
        <w:tabs>
          <w:tab w:val="left" w:pos="567"/>
        </w:tabs>
        <w:spacing w:after="0" w:line="240" w:lineRule="auto"/>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lastRenderedPageBreak/>
        <w:tab/>
        <w:t xml:space="preserve">The 1980s: a period of banking reform and of profound changes in the French financial system </w:t>
      </w:r>
    </w:p>
    <w:p w:rsidR="00472A60" w:rsidRPr="00C40532" w:rsidRDefault="00472A60" w:rsidP="00472A60">
      <w:pPr>
        <w:tabs>
          <w:tab w:val="left" w:pos="567"/>
        </w:tabs>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b/>
        <w:t xml:space="preserve">The French financial system went through a profound transformation in the 1980s, following a wave of deregulation that, having originated in the United States in the mid-1970s, modified both its structure and its operating conditions. Two types of deregulation can be distinguished: the organization of the system (“structural deregulation”) and the way they operated (“conduct deregulation”). 2.2.1 Legal and regulatory changes introduced by the left-wing government The nationalizations of 1982 represented the first step in the State’s effort to radically overhaul the French banking system in order to deal with financial globalization. These nationalizations as part of a more sweeping reform by the Socialist government of the financial and banking </w:t>
      </w:r>
      <w:proofErr w:type="gramStart"/>
      <w:r w:rsidRPr="00C40532">
        <w:rPr>
          <w:rFonts w:ascii="Times New Roman" w:hAnsi="Times New Roman" w:cs="Times New Roman"/>
          <w:sz w:val="24"/>
          <w:szCs w:val="24"/>
          <w:lang w:val="en-US"/>
        </w:rPr>
        <w:t>systems,</w:t>
      </w:r>
      <w:proofErr w:type="gramEnd"/>
      <w:r w:rsidRPr="00C40532">
        <w:rPr>
          <w:rFonts w:ascii="Times New Roman" w:hAnsi="Times New Roman" w:cs="Times New Roman"/>
          <w:sz w:val="24"/>
          <w:szCs w:val="24"/>
          <w:lang w:val="en-US"/>
        </w:rPr>
        <w:t xml:space="preserve"> were intended (i) to finance priority investments, (ii) to improve the control of credit and (iii) to reduce the cost of bank loans. The French State thus nationalized 36 deposit banks and two investment banks (or compagnies financières). This gave the State control of virtually the entire banking sector, meaning that it could now steer investment and reform the financial system.</w:t>
      </w:r>
    </w:p>
    <w:p w:rsidR="00472A60" w:rsidRPr="00C40532" w:rsidRDefault="00472A60" w:rsidP="00472A60">
      <w:pPr>
        <w:tabs>
          <w:tab w:val="left" w:pos="567"/>
        </w:tabs>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b/>
        <w:t xml:space="preserve">In seemingly contrast with the process of </w:t>
      </w:r>
      <w:proofErr w:type="gramStart"/>
      <w:r w:rsidRPr="00C40532">
        <w:rPr>
          <w:rFonts w:ascii="Times New Roman" w:hAnsi="Times New Roman" w:cs="Times New Roman"/>
          <w:sz w:val="24"/>
          <w:szCs w:val="24"/>
          <w:lang w:val="en-US"/>
        </w:rPr>
        <w:t>nationalization,</w:t>
      </w:r>
      <w:proofErr w:type="gramEnd"/>
      <w:r w:rsidRPr="00C40532">
        <w:rPr>
          <w:rFonts w:ascii="Times New Roman" w:hAnsi="Times New Roman" w:cs="Times New Roman"/>
          <w:sz w:val="24"/>
          <w:szCs w:val="24"/>
          <w:lang w:val="en-US"/>
        </w:rPr>
        <w:t xml:space="preserve"> the cornerstone of the French financial (de)regulation since 1980 has undoubtedly been the Banking Act of 1984, relative to the activity and control of the credit organisations, which has to be linked to the liberalisation context of the international financial system. The reforms introduced by Finance Minister Pierre Bérégovoy starting in 1984 aimed at establishing a unified monetary and financial market where interest rates were set freely (subject to the intervention of the Banque de France). This Banking Act, proposed by the government of Pierre Mauroy (</w:t>
      </w:r>
      <w:proofErr w:type="gramStart"/>
      <w:r w:rsidRPr="00C40532">
        <w:rPr>
          <w:rFonts w:ascii="Times New Roman" w:hAnsi="Times New Roman" w:cs="Times New Roman"/>
          <w:sz w:val="24"/>
          <w:szCs w:val="24"/>
          <w:lang w:val="en-US"/>
        </w:rPr>
        <w:t>PS )</w:t>
      </w:r>
      <w:proofErr w:type="gramEnd"/>
      <w:r w:rsidRPr="00C40532">
        <w:rPr>
          <w:rFonts w:ascii="Times New Roman" w:hAnsi="Times New Roman" w:cs="Times New Roman"/>
          <w:sz w:val="24"/>
          <w:szCs w:val="24"/>
          <w:lang w:val="en-US"/>
        </w:rPr>
        <w:t xml:space="preserve">, aimed at strengthening competition and improving efficiency of the entire banking system. It put a halt to the bank specialisation by creating the ‘universal bank’: every organization that received an agreement could carry out every type of operations peculiar to credit organisations and could choose its customers without restrictions. These “credit organisations” encompassed the AFB banks such as BNP-Paribas or Société Générale, the “mutualist” or cooperative banks (Crédit Agricole), the savings banks, the local credit banks, the financial societies (CETELEM, COFINOGA) and the specialized financial institutions. The Banking Act also created three collegial authorities, whose functioning is tightly linked to the functioning of Bank of France, to control for the banking sector’s activities: the Banking Regulation Committee (CRB), the Credit Organisations Committee (CEC) and the Banking Commission (CB). The CB had to control whether the credit organisations respected the several enforceable legislative and regulatory clauses and to punish them if necessary. Last, the Banking Act introduced a liquidity and solvability constraint for the credit organisations. The latter had to abide by accounting norms and by a balanced financial structure in order to guarantee their liquidity and solvability, under the supervision of the CRB. This liberalisation had some quick effects on the securitisation movement through which France lived from 1986 to 1990. This market-oriented policy has been pursued through several measures like the lifting of the credit framework in 1987, the lifting of control on assets movements or the dismantling of the exchange control in 1989. Additional important changes in the financial and banking landscape are as follows. In 1983, the creation of the monthly settlement market unified the stock exchange trading while the creation of a second market (second marché) gave smaller companies, mainly family firms, access to the stock market. In 1985, certificates of deposits were created, i.e. debt securities primarily intended for professional investors as very short-term investments (between 1 day and 1 year), and the money market was opened to non-banks. The MATIF futures market was created to allow trading in futures instruments, and then the MONEP market for (financial) options. To summarize, the Banking Act of 1984 has had a long-lasting influence on the French banking and financial system. Also noticeable is its seniority as regards many European directives. Such was the case in a wide array of legislative reforms that the Banking Act generated (see Blot et al., 2013, for details): liberalisation of capital movements (EU directive in 1988), cross-border competition and definition of permitted activities (EU directive in </w:t>
      </w:r>
      <w:r w:rsidRPr="00C40532">
        <w:rPr>
          <w:rFonts w:ascii="Times New Roman" w:hAnsi="Times New Roman" w:cs="Times New Roman"/>
          <w:sz w:val="24"/>
          <w:szCs w:val="24"/>
          <w:lang w:val="en-US"/>
        </w:rPr>
        <w:lastRenderedPageBreak/>
        <w:t>1989 and 1993), capital requirements (EU directive in 1989), definition of investment services (EU directive in 1993), deposit guarantee (EU directive in 1994), and crisis management schemes (EU directive in 2001).</w:t>
      </w:r>
    </w:p>
    <w:p w:rsidR="00472A60" w:rsidRPr="00C40532" w:rsidRDefault="00472A60" w:rsidP="00472A60">
      <w:pPr>
        <w:tabs>
          <w:tab w:val="left" w:pos="895"/>
        </w:tabs>
        <w:spacing w:after="0" w:line="240" w:lineRule="auto"/>
        <w:jc w:val="both"/>
        <w:rPr>
          <w:rFonts w:ascii="Times New Roman" w:hAnsi="Times New Roman" w:cs="Times New Roman"/>
          <w:sz w:val="24"/>
          <w:szCs w:val="24"/>
          <w:lang w:val="en-US"/>
        </w:rPr>
      </w:pPr>
    </w:p>
    <w:p w:rsidR="00472A60" w:rsidRPr="00C40532" w:rsidRDefault="00472A60" w:rsidP="00472A60">
      <w:pPr>
        <w:pStyle w:val="a6"/>
        <w:spacing w:before="0" w:beforeAutospacing="0" w:after="0" w:afterAutospacing="0"/>
        <w:ind w:firstLine="567"/>
        <w:jc w:val="both"/>
        <w:rPr>
          <w:lang w:val="en-US"/>
        </w:rPr>
      </w:pPr>
      <w:r w:rsidRPr="00C40532">
        <w:rPr>
          <w:rStyle w:val="hps"/>
          <w:lang w:val="en-US"/>
        </w:rPr>
        <w:t>2.</w:t>
      </w:r>
      <w:r w:rsidRPr="00C40532">
        <w:rPr>
          <w:b/>
          <w:lang w:val="en-US"/>
        </w:rPr>
        <w:t xml:space="preserve"> </w:t>
      </w:r>
      <w:r w:rsidRPr="00C40532">
        <w:rPr>
          <w:rStyle w:val="hps"/>
          <w:lang w:val="en-US"/>
        </w:rPr>
        <w:t>State</w:t>
      </w:r>
      <w:r w:rsidRPr="00C40532">
        <w:rPr>
          <w:b/>
          <w:lang w:val="en-US"/>
        </w:rPr>
        <w:t xml:space="preserve"> </w:t>
      </w:r>
      <w:r w:rsidRPr="00C40532">
        <w:rPr>
          <w:rStyle w:val="hps"/>
          <w:lang w:val="en-US"/>
        </w:rPr>
        <w:t>budget</w:t>
      </w:r>
      <w:r w:rsidRPr="00C40532">
        <w:rPr>
          <w:b/>
          <w:lang w:val="en-US"/>
        </w:rPr>
        <w:t xml:space="preserve"> </w:t>
      </w:r>
      <w:r w:rsidRPr="00C40532">
        <w:rPr>
          <w:rStyle w:val="hps"/>
          <w:lang w:val="en-US"/>
        </w:rPr>
        <w:t>in France</w:t>
      </w:r>
      <w:r w:rsidRPr="00C40532">
        <w:rPr>
          <w:b/>
          <w:lang w:val="en-US"/>
        </w:rPr>
        <w:t xml:space="preserve">. </w:t>
      </w:r>
      <w:proofErr w:type="gramStart"/>
      <w:r w:rsidRPr="00C40532">
        <w:rPr>
          <w:rStyle w:val="hps"/>
          <w:lang w:val="en-US"/>
        </w:rPr>
        <w:t>The composition and structure</w:t>
      </w:r>
      <w:r w:rsidRPr="00C40532">
        <w:rPr>
          <w:b/>
          <w:lang w:val="en-US"/>
        </w:rPr>
        <w:t xml:space="preserve"> </w:t>
      </w:r>
      <w:r w:rsidRPr="00C40532">
        <w:rPr>
          <w:rStyle w:val="hps"/>
          <w:lang w:val="en-US"/>
        </w:rPr>
        <w:t>of income and expenses</w:t>
      </w:r>
      <w:r w:rsidRPr="00C40532">
        <w:rPr>
          <w:b/>
          <w:lang w:val="en-US"/>
        </w:rPr>
        <w:t>.</w:t>
      </w:r>
      <w:proofErr w:type="gramEnd"/>
      <w:r w:rsidRPr="00C40532">
        <w:rPr>
          <w:b/>
          <w:lang w:val="en-US"/>
        </w:rPr>
        <w:br/>
      </w:r>
    </w:p>
    <w:p w:rsidR="00472A60" w:rsidRPr="00C40532" w:rsidRDefault="00472A60" w:rsidP="00472A60">
      <w:pPr>
        <w:pStyle w:val="a6"/>
        <w:spacing w:before="0" w:beforeAutospacing="0" w:after="0" w:afterAutospacing="0"/>
        <w:ind w:firstLine="567"/>
        <w:jc w:val="both"/>
        <w:rPr>
          <w:lang w:val="en-US"/>
        </w:rPr>
      </w:pPr>
      <w:r w:rsidRPr="00C40532">
        <w:rPr>
          <w:lang w:val="en-US"/>
        </w:rPr>
        <w:t>The </w:t>
      </w:r>
      <w:r w:rsidRPr="00C40532">
        <w:rPr>
          <w:b/>
          <w:bCs/>
          <w:lang w:val="en-US"/>
        </w:rPr>
        <w:t>budget of France</w:t>
      </w:r>
      <w:r w:rsidRPr="00C40532">
        <w:rPr>
          <w:lang w:val="en-US"/>
        </w:rPr>
        <w:t>, setting revenues and spending levels is set after approval of the national assembly and the senate. The </w:t>
      </w:r>
      <w:r w:rsidR="00AA3725">
        <w:fldChar w:fldCharType="begin"/>
      </w:r>
      <w:r w:rsidR="00AA3725" w:rsidRPr="003E0431">
        <w:rPr>
          <w:lang w:val="en-US"/>
        </w:rPr>
        <w:instrText>HYPERLINK "https://en.wikipedia.org/wiki/Constitution_of_France" \o "Constitution of France"</w:instrText>
      </w:r>
      <w:r w:rsidR="00AA3725">
        <w:fldChar w:fldCharType="separate"/>
      </w:r>
      <w:r w:rsidRPr="00C40532">
        <w:rPr>
          <w:u w:val="single"/>
          <w:lang w:val="en-US"/>
        </w:rPr>
        <w:t>French Constitution</w:t>
      </w:r>
      <w:r w:rsidR="00AA3725">
        <w:fldChar w:fldCharType="end"/>
      </w:r>
      <w:r w:rsidRPr="00C40532">
        <w:rPr>
          <w:lang w:val="en-US"/>
        </w:rPr>
        <w:t> provides for a maximum of 70 days between the budget being proposed to parliament and it being approved. Article 40 of the Constitution stops the </w:t>
      </w:r>
      <w:r w:rsidR="00AA3725">
        <w:fldChar w:fldCharType="begin"/>
      </w:r>
      <w:r w:rsidR="00AA3725" w:rsidRPr="003E0431">
        <w:rPr>
          <w:lang w:val="en-US"/>
        </w:rPr>
        <w:instrText>HYPERLINK "https://en.wikipedia.org/wiki/National_Assembly_(France)" \o "National Assembly (France)"</w:instrText>
      </w:r>
      <w:r w:rsidR="00AA3725">
        <w:fldChar w:fldCharType="separate"/>
      </w:r>
      <w:r w:rsidRPr="00C40532">
        <w:rPr>
          <w:u w:val="single"/>
          <w:lang w:val="en-US"/>
        </w:rPr>
        <w:t>National Assembly</w:t>
      </w:r>
      <w:r w:rsidR="00AA3725">
        <w:fldChar w:fldCharType="end"/>
      </w:r>
      <w:r w:rsidRPr="00C40532">
        <w:rPr>
          <w:lang w:val="en-US"/>
        </w:rPr>
        <w:t> and </w:t>
      </w:r>
      <w:r w:rsidR="00AA3725">
        <w:fldChar w:fldCharType="begin"/>
      </w:r>
      <w:r w:rsidR="00AA3725" w:rsidRPr="003E0431">
        <w:rPr>
          <w:lang w:val="en-US"/>
        </w:rPr>
        <w:instrText>HYPERLINK "https://en.wikipedia.org/wiki/Senate_(France)" \o "Senate (France)"</w:instrText>
      </w:r>
      <w:r w:rsidR="00AA3725">
        <w:fldChar w:fldCharType="separate"/>
      </w:r>
      <w:r w:rsidRPr="00C40532">
        <w:rPr>
          <w:u w:val="single"/>
          <w:lang w:val="en-US"/>
        </w:rPr>
        <w:t>Senate</w:t>
      </w:r>
      <w:r w:rsidR="00AA3725">
        <w:fldChar w:fldCharType="end"/>
      </w:r>
      <w:r w:rsidRPr="00C40532">
        <w:rPr>
          <w:lang w:val="en-US"/>
        </w:rPr>
        <w:t> from making any amendments to the total spending and revenue amounts proposed by the government.</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Once approved by parliament, the government may make adjustments of up to 2% to the budget without having to seek further parliamentary approval.</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2011, the government introduced a bill to amend article 34 of the Constitution to ensure a balanced budget (</w:t>
      </w:r>
      <w:r w:rsidR="00AA3725">
        <w:fldChar w:fldCharType="begin"/>
      </w:r>
      <w:r w:rsidR="00AA3725" w:rsidRPr="003E0431">
        <w:rPr>
          <w:lang w:val="en-US"/>
        </w:rPr>
        <w:instrText>HYPERLINK "https://en.wikipedia.org/wiki/Golden_Rule" \o "Golden Rule"</w:instrText>
      </w:r>
      <w:r w:rsidR="00AA3725">
        <w:fldChar w:fldCharType="separate"/>
      </w:r>
      <w:r w:rsidRPr="00C40532">
        <w:rPr>
          <w:rFonts w:ascii="Times New Roman" w:hAnsi="Times New Roman" w:cs="Times New Roman"/>
          <w:sz w:val="24"/>
          <w:szCs w:val="24"/>
          <w:u w:val="single"/>
          <w:lang w:val="en-US"/>
        </w:rPr>
        <w:t>Golden Rule</w:t>
      </w:r>
      <w:r w:rsidR="00AA3725">
        <w:fldChar w:fldCharType="end"/>
      </w:r>
      <w:r w:rsidRPr="00C40532">
        <w:rPr>
          <w:rFonts w:ascii="Times New Roman" w:hAnsi="Times New Roman" w:cs="Times New Roman"/>
          <w:sz w:val="24"/>
          <w:szCs w:val="24"/>
          <w:lang w:val="en-US"/>
        </w:rPr>
        <w:t>).</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French budget concerns only spending and revenue by central government. It thus excludes the Social Security budget and regional and local </w:t>
      </w:r>
      <w:proofErr w:type="gramStart"/>
      <w:r w:rsidRPr="00C40532">
        <w:rPr>
          <w:rFonts w:ascii="Times New Roman" w:hAnsi="Times New Roman" w:cs="Times New Roman"/>
          <w:sz w:val="24"/>
          <w:szCs w:val="24"/>
          <w:lang w:val="en-US"/>
        </w:rPr>
        <w:t>authorities</w:t>
      </w:r>
      <w:proofErr w:type="gramEnd"/>
      <w:r w:rsidRPr="00C40532">
        <w:rPr>
          <w:rFonts w:ascii="Times New Roman" w:hAnsi="Times New Roman" w:cs="Times New Roman"/>
          <w:sz w:val="24"/>
          <w:szCs w:val="24"/>
          <w:lang w:val="en-US"/>
        </w:rPr>
        <w:t xml:space="preserve"> budgets.</w:t>
      </w:r>
    </w:p>
    <w:p w:rsidR="00472A60" w:rsidRPr="00C40532" w:rsidRDefault="00472A60" w:rsidP="00472A60">
      <w:pPr>
        <w:pBdr>
          <w:bottom w:val="single" w:sz="4" w:space="0" w:color="A2A9B1"/>
        </w:pBdr>
        <w:spacing w:after="0" w:line="240" w:lineRule="auto"/>
        <w:jc w:val="both"/>
        <w:outlineLvl w:val="1"/>
        <w:rPr>
          <w:rFonts w:ascii="Times New Roman" w:hAnsi="Times New Roman" w:cs="Times New Roman"/>
          <w:sz w:val="24"/>
          <w:szCs w:val="24"/>
          <w:lang w:val="en-US"/>
        </w:rPr>
      </w:pPr>
    </w:p>
    <w:p w:rsidR="00472A60" w:rsidRPr="00C40532" w:rsidRDefault="00472A60" w:rsidP="00472A60">
      <w:pPr>
        <w:pBdr>
          <w:bottom w:val="single" w:sz="4" w:space="0" w:color="A2A9B1"/>
        </w:pBdr>
        <w:spacing w:after="0" w:line="240" w:lineRule="auto"/>
        <w:jc w:val="center"/>
        <w:outlineLvl w:val="1"/>
        <w:rPr>
          <w:rFonts w:ascii="Times New Roman" w:hAnsi="Times New Roman" w:cs="Times New Roman"/>
          <w:b/>
          <w:sz w:val="24"/>
          <w:szCs w:val="24"/>
        </w:rPr>
      </w:pPr>
      <w:r w:rsidRPr="00C40532">
        <w:rPr>
          <w:rFonts w:ascii="Times New Roman" w:hAnsi="Times New Roman" w:cs="Times New Roman"/>
          <w:b/>
          <w:sz w:val="24"/>
          <w:szCs w:val="24"/>
        </w:rPr>
        <w:t>Public spending in 201</w:t>
      </w:r>
      <w:r w:rsidR="000A0C98">
        <w:rPr>
          <w:rFonts w:ascii="Times New Roman" w:hAnsi="Times New Roman" w:cs="Times New Roman"/>
          <w:b/>
          <w:sz w:val="24"/>
          <w:szCs w:val="24"/>
        </w:rPr>
        <w:t>9</w:t>
      </w:r>
      <w:r w:rsidRPr="00C40532">
        <w:rPr>
          <w:rFonts w:ascii="Times New Roman" w:hAnsi="Times New Roman" w:cs="Times New Roman"/>
          <w:b/>
          <w:sz w:val="24"/>
          <w:szCs w:val="24"/>
        </w:rPr>
        <w:t>[</w:t>
      </w:r>
      <w:hyperlink r:id="rId28" w:tooltip="Edit section: Public spending in 2013" w:history="1">
        <w:r w:rsidRPr="00C40532">
          <w:rPr>
            <w:rFonts w:ascii="Times New Roman" w:hAnsi="Times New Roman" w:cs="Times New Roman"/>
            <w:b/>
            <w:sz w:val="24"/>
            <w:szCs w:val="24"/>
            <w:u w:val="single"/>
          </w:rPr>
          <w:t>edit</w:t>
        </w:r>
      </w:hyperlink>
      <w:r w:rsidRPr="00C40532">
        <w:rPr>
          <w:rFonts w:ascii="Times New Roman" w:hAnsi="Times New Roman" w:cs="Times New Roman"/>
          <w:b/>
          <w:sz w:val="24"/>
          <w:szCs w:val="24"/>
        </w:rPr>
        <w:t>]</w:t>
      </w:r>
    </w:p>
    <w:tbl>
      <w:tblPr>
        <w:tblW w:w="0" w:type="auto"/>
        <w:tblBorders>
          <w:top w:val="single" w:sz="4" w:space="0" w:color="A2A9B1"/>
          <w:left w:val="single" w:sz="4" w:space="0" w:color="A2A9B1"/>
          <w:bottom w:val="single" w:sz="4" w:space="0" w:color="A2A9B1"/>
          <w:right w:val="single" w:sz="4" w:space="0" w:color="A2A9B1"/>
        </w:tblBorders>
        <w:shd w:val="clear" w:color="auto" w:fill="F8F9FA"/>
        <w:tblCellMar>
          <w:top w:w="15" w:type="dxa"/>
          <w:left w:w="15" w:type="dxa"/>
          <w:bottom w:w="15" w:type="dxa"/>
          <w:right w:w="15" w:type="dxa"/>
        </w:tblCellMar>
        <w:tblLook w:val="04A0"/>
      </w:tblPr>
      <w:tblGrid>
        <w:gridCol w:w="1659"/>
        <w:gridCol w:w="1861"/>
        <w:gridCol w:w="1377"/>
        <w:gridCol w:w="2122"/>
        <w:gridCol w:w="2122"/>
        <w:gridCol w:w="897"/>
      </w:tblGrid>
      <w:tr w:rsidR="00472A60" w:rsidRPr="00C40532" w:rsidTr="000A0C98">
        <w:trPr>
          <w:tblHeader/>
        </w:trPr>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Item</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Central Government</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Social Security</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Local &amp; Regional Government</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Quasi-governmental bodies</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Total</w:t>
            </w:r>
          </w:p>
        </w:tc>
      </w:tr>
      <w:tr w:rsidR="00472A60" w:rsidRPr="00C40532" w:rsidTr="000A0C98">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Expenditures</w:t>
            </w:r>
            <w:r w:rsidRPr="00C40532">
              <w:rPr>
                <w:rFonts w:ascii="Times New Roman" w:hAnsi="Times New Roman" w:cs="Times New Roman"/>
                <w:sz w:val="24"/>
                <w:szCs w:val="24"/>
              </w:rPr>
              <w:br/>
              <w:t>(billion €)</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562.9</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252</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81.3</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1383.9</w:t>
            </w:r>
          </w:p>
        </w:tc>
      </w:tr>
      <w:tr w:rsidR="00472A60" w:rsidRPr="00C40532" w:rsidTr="000A0C98">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Revenues</w:t>
            </w:r>
            <w:r w:rsidRPr="00C40532">
              <w:rPr>
                <w:rFonts w:ascii="Times New Roman" w:hAnsi="Times New Roman" w:cs="Times New Roman"/>
                <w:sz w:val="24"/>
                <w:szCs w:val="24"/>
              </w:rPr>
              <w:br/>
              <w:t>(billion €)</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419.8</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552.8</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242.8</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82.6</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1298.0</w:t>
            </w:r>
          </w:p>
        </w:tc>
      </w:tr>
      <w:tr w:rsidR="00472A60" w:rsidRPr="00C40532" w:rsidTr="000A0C98">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Surplus/Deficit</w:t>
            </w:r>
            <w:r w:rsidRPr="00C40532">
              <w:rPr>
                <w:rFonts w:ascii="Times New Roman" w:hAnsi="Times New Roman" w:cs="Times New Roman"/>
                <w:sz w:val="24"/>
                <w:szCs w:val="24"/>
              </w:rPr>
              <w:br/>
              <w:t>(billion €)</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-67.9</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-10.1</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-9.2</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1.3</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-85.89</w:t>
            </w:r>
            <w:r w:rsidRPr="00C40532">
              <w:rPr>
                <w:rFonts w:ascii="Times New Roman" w:hAnsi="Times New Roman" w:cs="Times New Roman"/>
                <w:sz w:val="24"/>
                <w:szCs w:val="24"/>
              </w:rPr>
              <w:br/>
            </w:r>
          </w:p>
        </w:tc>
      </w:tr>
    </w:tbl>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ind w:firstLine="567"/>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3. State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 funds.</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Attached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budgets.</w:t>
      </w:r>
      <w:proofErr w:type="gramEnd"/>
    </w:p>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ind w:firstLine="34"/>
        <w:jc w:val="both"/>
        <w:rPr>
          <w:rFonts w:ascii="Times New Roman" w:hAnsi="Times New Roman" w:cs="Times New Roman"/>
          <w:b/>
          <w:spacing w:val="-9"/>
          <w:sz w:val="24"/>
          <w:szCs w:val="24"/>
          <w:lang w:val="en-US"/>
        </w:rPr>
      </w:pPr>
      <w:r w:rsidRPr="00C40532">
        <w:rPr>
          <w:rFonts w:ascii="Times New Roman" w:hAnsi="Times New Roman" w:cs="Times New Roman"/>
          <w:b/>
          <w:noProof/>
          <w:spacing w:val="-9"/>
          <w:sz w:val="24"/>
          <w:szCs w:val="24"/>
        </w:rPr>
        <w:lastRenderedPageBreak/>
        <w:drawing>
          <wp:inline distT="0" distB="0" distL="0" distR="0">
            <wp:extent cx="6397118" cy="3049286"/>
            <wp:effectExtent l="19050" t="0" r="3682"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6402079" cy="3051651"/>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tabs>
          <w:tab w:val="left" w:pos="180"/>
        </w:tabs>
        <w:spacing w:after="0" w:line="240" w:lineRule="auto"/>
        <w:ind w:firstLine="34"/>
        <w:jc w:val="both"/>
        <w:rPr>
          <w:rFonts w:ascii="Times New Roman" w:hAnsi="Times New Roman" w:cs="Times New Roman"/>
          <w:b/>
          <w:spacing w:val="-9"/>
          <w:sz w:val="24"/>
          <w:szCs w:val="24"/>
          <w:lang w:val="en-US"/>
        </w:rPr>
      </w:pPr>
    </w:p>
    <w:p w:rsidR="00472A60" w:rsidRPr="00C40532" w:rsidRDefault="00472A60" w:rsidP="00472A60">
      <w:pPr>
        <w:shd w:val="clear" w:color="auto" w:fill="FFFFFF"/>
        <w:tabs>
          <w:tab w:val="left" w:pos="180"/>
        </w:tabs>
        <w:spacing w:after="0" w:line="240" w:lineRule="auto"/>
        <w:ind w:firstLine="34"/>
        <w:jc w:val="both"/>
        <w:rPr>
          <w:rFonts w:ascii="Times New Roman" w:hAnsi="Times New Roman" w:cs="Times New Roman"/>
          <w:b/>
          <w:spacing w:val="-9"/>
          <w:sz w:val="24"/>
          <w:szCs w:val="24"/>
          <w:lang w:val="en-US"/>
        </w:rPr>
      </w:pPr>
      <w:r w:rsidRPr="00C40532">
        <w:rPr>
          <w:rFonts w:ascii="Times New Roman" w:hAnsi="Times New Roman" w:cs="Times New Roman"/>
          <w:b/>
          <w:noProof/>
          <w:spacing w:val="-9"/>
          <w:sz w:val="24"/>
          <w:szCs w:val="24"/>
        </w:rPr>
        <w:drawing>
          <wp:inline distT="0" distB="0" distL="0" distR="0">
            <wp:extent cx="6367838" cy="2835409"/>
            <wp:effectExtent l="1905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6372143" cy="2837326"/>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jc w:val="both"/>
        <w:outlineLvl w:val="1"/>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outlineLvl w:val="1"/>
        <w:rPr>
          <w:rFonts w:ascii="Times New Roman" w:hAnsi="Times New Roman" w:cs="Times New Roman"/>
          <w:sz w:val="24"/>
          <w:szCs w:val="24"/>
          <w:lang w:val="en-US"/>
        </w:rPr>
      </w:pPr>
      <w:r w:rsidRPr="00C40532">
        <w:rPr>
          <w:rFonts w:ascii="Times New Roman" w:hAnsi="Times New Roman" w:cs="Times New Roman"/>
          <w:sz w:val="24"/>
          <w:szCs w:val="24"/>
          <w:lang w:val="en-US"/>
        </w:rPr>
        <w:t>BALANCE OF PAYMENTS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Between 1945 and 1958, France had a constant deficit in its balance of payments. The deficit was financed by foreign loans and by US aid under the Marshall Plan, which totaled more than $4.5 billion. A 1958 currency reform devalued the franc by 17.5%, reduced quota restrictions on imports, and allowed for repatriation of capital; these measures, combined with increased tourist trade and greater spending by US armed forces in the franc zone, improved France's payments position. </w:t>
      </w:r>
      <w:r w:rsidRPr="00C40532">
        <w:rPr>
          <w:rFonts w:ascii="Times New Roman" w:hAnsi="Times New Roman" w:cs="Times New Roman"/>
          <w:sz w:val="24"/>
          <w:szCs w:val="24"/>
        </w:rPr>
        <w:t>With payments surpluses during</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tbl>
      <w:tblPr>
        <w:tblW w:w="0" w:type="auto"/>
        <w:tblInd w:w="1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3280"/>
        <w:gridCol w:w="740"/>
        <w:gridCol w:w="740"/>
        <w:gridCol w:w="500"/>
      </w:tblGrid>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Current Account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4.4</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Balance on goods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1.0</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Imports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-360.8</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lastRenderedPageBreak/>
              <w:t>      Exports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361.9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Balance on services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14.9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Balance on income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7.6</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Current transfers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-19.2</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Capital Account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-8.2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Financial Account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-0.7</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Direct investment abroad</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-0.7</w: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Direct investment abroad</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-57.4</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Direct investment in France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47.8</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Portfolio investment assets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-147.5</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Portfolio investment liabilities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136.2</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Financial derivatives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-7.1</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Other investment assets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-20.0</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Other investment liabilities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47.4</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Net Errors and Omissions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5.8</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Reserves and Related Items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-1.3</w:t>
            </w:r>
          </w:p>
        </w:tc>
      </w:tr>
      <w:tr w:rsidR="00472A60" w:rsidRPr="003E0431" w:rsidTr="000A0C98">
        <w:tc>
          <w:tcPr>
            <w:tcW w:w="0" w:type="auto"/>
            <w:gridSpan w:val="4"/>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data not available or not significant.</w:t>
            </w:r>
          </w:p>
        </w:tc>
      </w:tr>
    </w:tbl>
    <w:p w:rsidR="00472A60" w:rsidRPr="00C40532" w:rsidRDefault="00472A60" w:rsidP="00472A60">
      <w:pPr>
        <w:shd w:val="clear" w:color="auto" w:fill="FFFFFF"/>
        <w:spacing w:after="0" w:line="240" w:lineRule="auto"/>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Most of the 1960s, gold and currency reserve holdings rose to $6.9 billion by the end of 1967. However, a massive deficit in 1968 led to another devaluation of the franc in 1969, and by 31 December 1969, gold and reserve holdings had dropped to $3.8 billion. After surpluses in 1970–72 raised international reserves to over $10 billion, price increases for oil and other raw materials resulted in substantial negative balances on current accounts in 1973 and 1974; because of this, France required massive infusions of shortterm capital to meet its payments obligations.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Huge surpluses on the services account led to positive payments balances during 1977–80, when reserves rose by nearly $9.7 billion. After that, France's trade position deteriorated sharply. Foreign exchange reserves fell from $27.8 billion as of March 1981 to $14.1 billion by March 1983. To meet its payments obligation, France had to secure a $4 billion standby credit from international banks as well as loans from </w:t>
      </w:r>
      <w:r w:rsidR="00AA3725">
        <w:fldChar w:fldCharType="begin"/>
      </w:r>
      <w:r w:rsidR="00AA3725" w:rsidRPr="003E0431">
        <w:rPr>
          <w:lang w:val="en-US"/>
        </w:rPr>
        <w:instrText>HYPERLINK "http://www.encyclopedia.com/places/asia/arabian-peninsula-political-geography/saudi-arabia"</w:instrText>
      </w:r>
      <w:r w:rsidR="00AA3725">
        <w:fldChar w:fldCharType="separate"/>
      </w:r>
      <w:r w:rsidRPr="00C40532">
        <w:rPr>
          <w:rFonts w:ascii="Times New Roman" w:hAnsi="Times New Roman" w:cs="Times New Roman"/>
          <w:sz w:val="24"/>
          <w:szCs w:val="24"/>
          <w:lang w:val="en-US"/>
        </w:rPr>
        <w:t>Saudi Arabia</w:t>
      </w:r>
      <w:r w:rsidR="00AA3725">
        <w:fldChar w:fldCharType="end"/>
      </w:r>
      <w:r w:rsidRPr="00C40532">
        <w:rPr>
          <w:rFonts w:ascii="Times New Roman" w:hAnsi="Times New Roman" w:cs="Times New Roman"/>
          <w:sz w:val="24"/>
          <w:szCs w:val="24"/>
          <w:lang w:val="en-US"/>
        </w:rPr>
        <w:t> and the EC. During the mid-1980s, the trade deficit generally moderated; the current accounts balance recovered in 1985 from the heavy deficits of the past.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1992, the merchandise trade account recorded a surplus after having recorded a significant deficit of 1990. Trade in industrial goods (including military equipment) and a surplus in the manufacturing sector (the first since 1986) were responsible for the boost in exports. Economic growth rose throughout 1994 due to exports to English-speaking countries and a strong economy in Europe. Exports of both goods and services significantly contributed to GDP growth in 1995 with exports of goods totaling $270.4 billion and imports totaling $259.2 billion, resulting in a trade balance on goods of $11.2 billion. Exports of services totaled $97.8 billion while imports totaled $78.5 billion, resulting in a balance on services of $19.2 billion.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Although France in recent years has run consistent trade and current account surpluses, the country's trade balance showed a deficit in 2001, the first since 1991. It turned around in 2002. The </w:t>
      </w:r>
      <w:r w:rsidRPr="00C40532">
        <w:rPr>
          <w:rFonts w:ascii="Times New Roman" w:hAnsi="Times New Roman" w:cs="Times New Roman"/>
          <w:sz w:val="24"/>
          <w:szCs w:val="24"/>
          <w:lang w:val="en-US"/>
        </w:rPr>
        <w:lastRenderedPageBreak/>
        <w:t>value of merchandise exports in 2004 totaled $421.1 billion, while imports totaled $429.1 billion, resulting in a trade deficit of $7.9 billion. Total trade for 2004 amounted to $858.2 billion, over 40% of GDP. France for several years had posted surpluses on the services and investment income balances. Nevertheless, the current account recorded a deficit of $4.8 billion, or 2% of GDP in 2004.</w:t>
      </w:r>
    </w:p>
    <w:p w:rsidR="00472A60" w:rsidRPr="00C40532" w:rsidRDefault="00472A60" w:rsidP="00472A60">
      <w:pPr>
        <w:shd w:val="clear" w:color="auto" w:fill="FFFFFF"/>
        <w:spacing w:after="0" w:line="240" w:lineRule="auto"/>
        <w:ind w:firstLine="567"/>
        <w:jc w:val="both"/>
        <w:outlineLvl w:val="1"/>
        <w:rPr>
          <w:rFonts w:ascii="Times New Roman" w:hAnsi="Times New Roman" w:cs="Times New Roman"/>
          <w:sz w:val="24"/>
          <w:szCs w:val="24"/>
          <w:lang w:val="en-US"/>
        </w:rPr>
      </w:pPr>
      <w:r w:rsidRPr="00C40532">
        <w:rPr>
          <w:rFonts w:ascii="Times New Roman" w:hAnsi="Times New Roman" w:cs="Times New Roman"/>
          <w:sz w:val="24"/>
          <w:szCs w:val="24"/>
          <w:lang w:val="en-US"/>
        </w:rPr>
        <w:t>BANKING AND SECURITIES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Banque de France, founded in 1800, came completely under government control in 1945. It is the bank of issue, sets discount rates and maximum discounts for each bank, regulates public and private finance, and is the Treasury depository. In 1945, a provisional government headed by Gen. de Gaulle also nationalized France's four largest commercial banks, and the state thus came to control 55% of all deposits. The four banks were Crédit Lyonnais, the Société Générale, the Banque Nationale pour le Commerce et l'Industrie, and the Comptoir National d'Escompte de Paris. In 1966, the Banque Nationale and the Comptoir merged and formed the Banque Nationale de Paris (BNP).</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1982, Socialist president François Mitterrand nationalized 39 banks, bringing the state's control over deposits to 90%. Among leading banks nationalized in 1982 was the Crédit Commercial de France, but this bank and Société Générale were privatized in 1987 by the Chirac government.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France's (and Europe's) biggest bank is a curiosity. Crédit Agricole, founded at the end of the 19th century, was for most of its life a federation of rurally based mutual credit organizations. It has preserved its rural base and plays the leading role in providing farmers with state-subsidized loans. After 1982 it was allowed to pursue a policy of diversification, so that farmers eventually accounted for only 15% of its customers. In 1995 Crédit Agricole was listed as the eighth-biggest bank in the world, being preceded by six Japanese banks and HSBC Holdings.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1999, BNP and rival Société Générale attempted to take over another private bank, Paribas. Concurrently, BNP was waging a takeover bid for Société Générale itself. Ultimately, BNP won outright control of Paribas, but only 36.8% of the shares of Société Générale.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La Poste, the postal service, which in France is an independent public </w:t>
      </w:r>
      <w:proofErr w:type="gramStart"/>
      <w:r w:rsidRPr="00C40532">
        <w:rPr>
          <w:rFonts w:ascii="Times New Roman" w:hAnsi="Times New Roman" w:cs="Times New Roman"/>
          <w:sz w:val="24"/>
          <w:szCs w:val="24"/>
          <w:lang w:val="en-US"/>
        </w:rPr>
        <w:t>entity,</w:t>
      </w:r>
      <w:proofErr w:type="gramEnd"/>
      <w:r w:rsidRPr="00C40532">
        <w:rPr>
          <w:rFonts w:ascii="Times New Roman" w:hAnsi="Times New Roman" w:cs="Times New Roman"/>
          <w:sz w:val="24"/>
          <w:szCs w:val="24"/>
          <w:lang w:val="en-US"/>
        </w:rPr>
        <w:t xml:space="preserve"> also offers financial services and held about 10% of the market in 2002. By virtue of the Banking Act of January 1984, the main regulatory authority for the banking sector is the Commission Bancaire. It is presided over by the governor of the Banque de France. The International Monetary Fund reports that in 2001, currency and demand deposits—an aggregate commonly known as M1—</w:t>
      </w:r>
      <w:proofErr w:type="gramStart"/>
      <w:r w:rsidRPr="00C40532">
        <w:rPr>
          <w:rFonts w:ascii="Times New Roman" w:hAnsi="Times New Roman" w:cs="Times New Roman"/>
          <w:sz w:val="24"/>
          <w:szCs w:val="24"/>
          <w:lang w:val="en-US"/>
        </w:rPr>
        <w:t>were</w:t>
      </w:r>
      <w:proofErr w:type="gramEnd"/>
      <w:r w:rsidRPr="00C40532">
        <w:rPr>
          <w:rFonts w:ascii="Times New Roman" w:hAnsi="Times New Roman" w:cs="Times New Roman"/>
          <w:sz w:val="24"/>
          <w:szCs w:val="24"/>
          <w:lang w:val="en-US"/>
        </w:rPr>
        <w:t xml:space="preserve"> equal to $300.4 billion. In that same year, M2—an aggregate equal to M1 plus savings deposits, small time deposits, and money market mutual funds—was $896.5 billion.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Public issues of stocks and bonds may be floated by corporations or by limited partnerships with shares. Publicly held companies that wish their stock to be traded on the exchange must receive prior authorization from the Stock Exchange Commission within the Ministry of Finance. In January 1962, the two principal Paris stock exchanges were merged. The six provincial exchanges specialize in shares of medium-size and small firms in their respective regions. In 2004, a total of 701 companies were listed on EURONEXT Paris. Total market capitalization in that same year came to $1,857.235 billion. In 2004, the CAC 40 index was up 7.4% from the previous year to 3,821.2.</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Measured by stock market capitalization, the Paris Bourse is the third-largest in Europe after London and Frankfurt. The Lyon Bourse is the most active provincial stock exchange. MATIF (marché à terme des instruments financiers), the financial futures exchange, was opened in Paris in 1986 and has proved a success. The Société des Bourses Françaises (SBF), the operator of the French stock market, has been determinedly pursuing a policy of reform and modernization, and it expects to benefit from the liberalization of financial services brought about by the EU's Investment Services Directive (ISD). French legislation, providing for the liberalization of financial services, transposed the directive into national law.</w:t>
      </w:r>
    </w:p>
    <w:p w:rsidR="00472A60" w:rsidRPr="00C40532" w:rsidRDefault="00472A60" w:rsidP="00472A60">
      <w:pPr>
        <w:shd w:val="clear" w:color="auto" w:fill="FFFFFF"/>
        <w:spacing w:after="0" w:line="240" w:lineRule="auto"/>
        <w:ind w:firstLine="567"/>
        <w:jc w:val="both"/>
        <w:outlineLvl w:val="1"/>
        <w:rPr>
          <w:rFonts w:ascii="Times New Roman" w:hAnsi="Times New Roman" w:cs="Times New Roman"/>
          <w:sz w:val="24"/>
          <w:szCs w:val="24"/>
          <w:lang w:val="en-US"/>
        </w:rPr>
      </w:pPr>
      <w:r w:rsidRPr="00C40532">
        <w:rPr>
          <w:rFonts w:ascii="Times New Roman" w:hAnsi="Times New Roman" w:cs="Times New Roman"/>
          <w:sz w:val="24"/>
          <w:szCs w:val="24"/>
          <w:lang w:val="en-US"/>
        </w:rPr>
        <w:t>INSURANCE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Insurance is supervised by the government directorate of insurance, while reinsurance is regulated by the Ministry of Commerce. In 1946, a total of 32 major insurance companies were nationalized, and a central reinsurance institute was organized. All private insurance companies are required to place a portion of their reinsurance with the central reinsurance institute. In France, workers' compensation, tenants' property damage, third-party automobile, hunter's liability insurance, and professional indemnity for some professions are among those insurance lines that are compulsory.</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However, as of 1996, the insurance sector was being shifted completely into private hands. Union des Assurances de Paris (UAP), which is France's largest insurance group, was privatized in 1994. The combining of insurance services with retail banking has become fashionable in recent years, hence the neologism </w:t>
      </w:r>
      <w:r w:rsidRPr="00C40532">
        <w:rPr>
          <w:rFonts w:ascii="Times New Roman" w:hAnsi="Times New Roman" w:cs="Times New Roman"/>
          <w:i/>
          <w:iCs/>
          <w:sz w:val="24"/>
          <w:szCs w:val="24"/>
          <w:lang w:val="en-US"/>
        </w:rPr>
        <w:t>bancassurance.</w:t>
      </w:r>
      <w:r w:rsidRPr="00C40532">
        <w:rPr>
          <w:rFonts w:ascii="Times New Roman" w:hAnsi="Times New Roman" w:cs="Times New Roman"/>
          <w:sz w:val="24"/>
          <w:szCs w:val="24"/>
          <w:lang w:val="en-US"/>
        </w:rPr>
        <w:t> Partners in this practice are UAP and BNP. Another development has been to forge alliances across the </w:t>
      </w:r>
      <w:r w:rsidR="00AA3725">
        <w:fldChar w:fldCharType="begin"/>
      </w:r>
      <w:r w:rsidR="00AA3725" w:rsidRPr="003E0431">
        <w:rPr>
          <w:lang w:val="en-US"/>
        </w:rPr>
        <w:instrText>HYPERLINK "http://www.encyclopedia.com/places/germany-scandinavia-and-central-europe/central-european-physical-geography/rhine"</w:instrText>
      </w:r>
      <w:r w:rsidR="00AA3725">
        <w:fldChar w:fldCharType="separate"/>
      </w:r>
      <w:r w:rsidRPr="00C40532">
        <w:rPr>
          <w:rFonts w:ascii="Times New Roman" w:hAnsi="Times New Roman" w:cs="Times New Roman"/>
          <w:sz w:val="24"/>
          <w:szCs w:val="24"/>
          <w:lang w:val="en-US"/>
        </w:rPr>
        <w:t>Rhine</w:t>
      </w:r>
      <w:r w:rsidR="00AA3725">
        <w:fldChar w:fldCharType="end"/>
      </w:r>
      <w:r w:rsidRPr="00C40532">
        <w:rPr>
          <w:rFonts w:ascii="Times New Roman" w:hAnsi="Times New Roman" w:cs="Times New Roman"/>
          <w:sz w:val="24"/>
          <w:szCs w:val="24"/>
          <w:lang w:val="en-US"/>
        </w:rPr>
        <w:t> in Germany. Since July 1994, insurers registered in other European Union (EU) countries have been able to write risks in France under the EU Non-Life Directive.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2003, the value of direct premiums written totaled $163.679 billion, of which life premiums totaled $105.436 billion. In 2002, Groupama GAN was France's leading nonlife insurer, with $7.5 billion of nonlife premiums written. CNP was the leading life insurer, that same year, with $15.3 billion in written life premiums.</w:t>
      </w:r>
    </w:p>
    <w:p w:rsidR="00472A60" w:rsidRPr="00C40532" w:rsidRDefault="00472A60" w:rsidP="00472A60">
      <w:pPr>
        <w:shd w:val="clear" w:color="auto" w:fill="FFFFFF"/>
        <w:spacing w:after="0" w:line="240" w:lineRule="auto"/>
        <w:ind w:right="22"/>
        <w:jc w:val="both"/>
        <w:rPr>
          <w:rStyle w:val="hps"/>
          <w:rFonts w:ascii="Times New Roman" w:hAnsi="Times New Roman" w:cs="Times New Roman"/>
          <w:b/>
          <w:sz w:val="24"/>
          <w:szCs w:val="24"/>
          <w:lang w:val="en-US"/>
        </w:rPr>
      </w:pPr>
    </w:p>
    <w:p w:rsidR="00472A60" w:rsidRPr="00C40532" w:rsidRDefault="00472A60" w:rsidP="00472A60">
      <w:pPr>
        <w:shd w:val="clear" w:color="auto" w:fill="FFFFFF"/>
        <w:spacing w:after="0" w:line="240" w:lineRule="auto"/>
        <w:ind w:right="22" w:firstLine="567"/>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4.</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revenues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expenditures of local budgets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their importance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financing</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social infrastructure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area</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 xml:space="preserve">France has a highly developed social welfare system. The social security fund is financed by contributions from both employers and </w:t>
      </w:r>
      <w:proofErr w:type="gramStart"/>
      <w:r w:rsidRPr="00C40532">
        <w:rPr>
          <w:color w:val="333333"/>
          <w:lang w:val="en-US"/>
        </w:rPr>
        <w:t>employees, calculated on percentages of wages and salaries, and is</w:t>
      </w:r>
      <w:proofErr w:type="gramEnd"/>
      <w:r w:rsidRPr="00C40532">
        <w:rPr>
          <w:color w:val="333333"/>
          <w:lang w:val="en-US"/>
        </w:rPr>
        <w:t xml:space="preserve"> partially subsidized by the government. Old age insurance guarantees payment of a pension when the insured reaches age 60. Disability insurance pays a pension to compensate for the loss of earnings and costs of care. Unemployment insurance is provided for all workers. Workers' medical benefits are paid directly for all necessary care. Maternity benefits are payable for six weeks before and 10 weeks after the expected date of childbirth for the first and second child. There is a universal system of family allowances for all residents, including a birth grant, income supplements for reduced work, and child care benefits.</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Equal pay for equal work is mandated by law, although this is not always the case in practice. Men continue to earn more than women and unemployment rates are higher for women than for men. Sexual harassment is illegal in the workplace and is generally effectively enforced. In 2004 legislation was passed creating a High Authority to Fight Discrimination and Promote Equality. Rape and spousal abuse laws are strictly enforced and the penalties are severe. Shelters, counseling, and hotlines are available to victims of sexual abuse and violence.</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Religious freedom is provided for by the constitution. However, large Arab/Muslim, African, and Jewish communities have been subject to harassment and prejudice. Extremist anti-immigrant groups have increasingly been involved in racial attacks. Discrimination on the basis of race, sex, disability, language, religion, or social status is prohibited.</w:t>
      </w:r>
    </w:p>
    <w:p w:rsidR="00472A60" w:rsidRPr="00C40532" w:rsidRDefault="00472A60" w:rsidP="00472A60">
      <w:pPr>
        <w:pStyle w:val="2"/>
        <w:shd w:val="clear" w:color="auto" w:fill="FFFFFF"/>
        <w:spacing w:before="0" w:beforeAutospacing="0" w:after="0" w:afterAutospacing="0"/>
        <w:ind w:firstLine="567"/>
        <w:jc w:val="both"/>
        <w:rPr>
          <w:b w:val="0"/>
          <w:bCs w:val="0"/>
          <w:color w:val="333333"/>
          <w:sz w:val="24"/>
          <w:szCs w:val="24"/>
          <w:lang w:val="en-US"/>
        </w:rPr>
      </w:pPr>
      <w:r w:rsidRPr="00C40532">
        <w:rPr>
          <w:b w:val="0"/>
          <w:bCs w:val="0"/>
          <w:color w:val="333333"/>
          <w:sz w:val="24"/>
          <w:szCs w:val="24"/>
          <w:lang w:val="en-US"/>
        </w:rPr>
        <w:t>HEALTH</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 xml:space="preserve">Under the French system of health care, both public and private health care providers operate through centralized funding. Patients have the option of seeing a private doctor on a fee basis or going to a state-operated facility. Nearly all private doctors are affiliated with the social security system and the patients' expenses are reimbursed in part. Many have private health insurance to cover the difference. During the 1980s, there was a trend away from inpatient and toward outpatient care, with a growing number of patients receiving care at home. Cost containment initiatives were raised in the 1980s and early 1990s to increase patient contributions and establish global budgets for public hospitals. In 1991, new reforms to strengthen the public sector were initiated. The social </w:t>
      </w:r>
      <w:r w:rsidRPr="00C40532">
        <w:rPr>
          <w:color w:val="333333"/>
          <w:lang w:val="en-US"/>
        </w:rPr>
        <w:lastRenderedPageBreak/>
        <w:t>security system subsidizes approximately 75% of all health care costs. Pharmaceutical consumption in France is among the highest of all OECD member countries (exceeded only by Japan and the United States). In 1992, the French government imposed a price-fixing mechanism on drugs.</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France's birth rate was estimated at 11.9 per 1000 in 2002. Approximately 79% of France's married women (ages 15 to 49) used contraception. The total fertility rate in 2000 was 1.9 children per woman during her childbearing years.</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As of 2004, there were an estimated 329 physicians, 667 nurses, 68 dentists, and 101 pharmacists per 100,000 people. Life expectancy in 2005 averaged 79.6. The infant mortality rate was 4.26 per 1,000 live births that year. The overall death rate was an estimated 9.1 per 1,000 people as of 2002. Tobacco and alcohol consumption continue to be health concerns in France.</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Efforts to immunize children up to one year old include: diphtheria, pertussis, and tetanus, polio, and measles. The HIV/AIDS prevalence was 0.40 per 100 adults in 2003. As of 2004, there were approximately 120,000 people living with HIV/AIDS in the country. There were an estimated 1,000 deaths from</w:t>
      </w:r>
      <w:r w:rsidRPr="00C40532">
        <w:rPr>
          <w:rStyle w:val="apple-converted-space"/>
          <w:color w:val="333333"/>
          <w:lang w:val="en-US"/>
        </w:rPr>
        <w:t> </w:t>
      </w:r>
      <w:r w:rsidR="00AA3725">
        <w:fldChar w:fldCharType="begin"/>
      </w:r>
      <w:r w:rsidR="00AA3725" w:rsidRPr="003E0431">
        <w:rPr>
          <w:lang w:val="en-US"/>
        </w:rPr>
        <w:instrText>HYPERLINK "http://www.encyclopedia.com/medicine/diseases-and-conditions/pathology/acquired-immunodeficiency-syndrome"</w:instrText>
      </w:r>
      <w:r w:rsidR="00AA3725">
        <w:fldChar w:fldCharType="separate"/>
      </w:r>
      <w:r w:rsidRPr="00C40532">
        <w:rPr>
          <w:rStyle w:val="a5"/>
          <w:color w:val="2196F3"/>
          <w:lang w:val="en-US"/>
        </w:rPr>
        <w:t>AIDS</w:t>
      </w:r>
      <w:r w:rsidR="00AA3725">
        <w:fldChar w:fldCharType="end"/>
      </w:r>
      <w:r w:rsidRPr="00C40532">
        <w:rPr>
          <w:rStyle w:val="apple-converted-space"/>
          <w:color w:val="333333"/>
          <w:lang w:val="en-US"/>
        </w:rPr>
        <w:t> </w:t>
      </w:r>
      <w:r w:rsidRPr="00C40532">
        <w:rPr>
          <w:color w:val="333333"/>
          <w:lang w:val="en-US"/>
        </w:rPr>
        <w:t>in 2003.</w:t>
      </w:r>
    </w:p>
    <w:p w:rsidR="00472A60" w:rsidRPr="00C40532" w:rsidRDefault="00472A60" w:rsidP="00472A60">
      <w:pPr>
        <w:pStyle w:val="2"/>
        <w:shd w:val="clear" w:color="auto" w:fill="FFFFFF"/>
        <w:spacing w:before="0" w:beforeAutospacing="0" w:after="0" w:afterAutospacing="0"/>
        <w:ind w:firstLine="567"/>
        <w:jc w:val="both"/>
        <w:rPr>
          <w:b w:val="0"/>
          <w:bCs w:val="0"/>
          <w:color w:val="333333"/>
          <w:sz w:val="24"/>
          <w:szCs w:val="24"/>
          <w:lang w:val="en-US"/>
        </w:rPr>
      </w:pPr>
      <w:r w:rsidRPr="00C40532">
        <w:rPr>
          <w:b w:val="0"/>
          <w:bCs w:val="0"/>
          <w:color w:val="333333"/>
          <w:sz w:val="24"/>
          <w:szCs w:val="24"/>
          <w:lang w:val="en-US"/>
        </w:rPr>
        <w:t>HOUSING</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In 2004, there were 30.3 million dwellings nationwide. About 25.4 million, or 84%, were primary residences, 2.9 million were second homes, and about 1.8 million, or 6.1%, were vacant. About 58% of all dwellings are detached homes. The number of people per household was about 2.3. Over 2.9 million residential buildings were built in 1990 or later.</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After World War II, in which 4.2 million dwellings were destroyed and one million damaged, the government took steps to provide inexpensive public housing. Annual construction rose steadily through the 1950s and 1960s; in 1970–75, housing construction of all types increased by an annual average of more than 6%. In 1975, the total number of new dwellings completed was 514,300. Construction slowed thereafter, and by 1996 the number had declined to 236,270.</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In accordance with a law of 1953, industrial and commercial firms employing 10 or more wage earners must invest 1% of their total payroll in housing projects for their employees. These funds can finance either public or private low-cost housing. Concerns must undertake construction of low-cost projects either on their own responsibility or through a building concern to which they supply capital. Special housing allowances are provided for families who must spend an inordinately large share of their income on rent or mortgages.</w:t>
      </w:r>
    </w:p>
    <w:p w:rsidR="00472A60" w:rsidRPr="00C40532" w:rsidRDefault="00472A60" w:rsidP="00472A60">
      <w:pPr>
        <w:pStyle w:val="2"/>
        <w:shd w:val="clear" w:color="auto" w:fill="FFFFFF"/>
        <w:spacing w:before="0" w:beforeAutospacing="0" w:after="0" w:afterAutospacing="0"/>
        <w:ind w:firstLine="567"/>
        <w:jc w:val="both"/>
        <w:rPr>
          <w:b w:val="0"/>
          <w:bCs w:val="0"/>
          <w:color w:val="333333"/>
          <w:sz w:val="24"/>
          <w:szCs w:val="24"/>
          <w:lang w:val="en-US"/>
        </w:rPr>
      </w:pPr>
      <w:r w:rsidRPr="00C40532">
        <w:rPr>
          <w:b w:val="0"/>
          <w:bCs w:val="0"/>
          <w:color w:val="333333"/>
          <w:sz w:val="24"/>
          <w:szCs w:val="24"/>
          <w:lang w:val="en-US"/>
        </w:rPr>
        <w:t>EDUCATION</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The supreme authority over national education in France is the Ministry of Education. Education is compulsory for children from the age of 6 to 16 and is free in all state primary and secondary schools. Higher education is not free, but academic fees are low, and more than half of the students are excused from payment.</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Since the end of 1959, private institutions have been authorized to receive state aid and to ask to be integrated into the public education system. In 2003, about 15% of elementary-school children and 25% of secondary-level students attended private schools, the majority of which are Roman Catholic. In Brittany, most children attend Catholic schools. Freedom of education is guaranteed by law, but the state exercises certain controls over private educational institutions, nearly all of which follow the uniform curriculum prescribed by the Ministry of Education.</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Primary school covers five years of study. There are two levels of secondary instruction. The first, the collège, is compulsory; after four years of schooling are successfully completed, the student receives a national diploma (</w:t>
      </w:r>
      <w:r w:rsidRPr="00C40532">
        <w:rPr>
          <w:i/>
          <w:iCs/>
          <w:color w:val="333333"/>
          <w:lang w:val="en-US"/>
        </w:rPr>
        <w:t xml:space="preserve">brevet des </w:t>
      </w:r>
      <w:proofErr w:type="gramStart"/>
      <w:r w:rsidRPr="00C40532">
        <w:rPr>
          <w:i/>
          <w:iCs/>
          <w:color w:val="333333"/>
          <w:lang w:val="en-US"/>
        </w:rPr>
        <w:t>collèges</w:t>
      </w:r>
      <w:r w:rsidRPr="00C40532">
        <w:rPr>
          <w:rStyle w:val="apple-converted-space"/>
          <w:color w:val="333333"/>
          <w:lang w:val="en-US"/>
        </w:rPr>
        <w:t> </w:t>
      </w:r>
      <w:r w:rsidRPr="00C40532">
        <w:rPr>
          <w:color w:val="333333"/>
          <w:lang w:val="en-US"/>
        </w:rPr>
        <w:t>)</w:t>
      </w:r>
      <w:proofErr w:type="gramEnd"/>
      <w:r w:rsidRPr="00C40532">
        <w:rPr>
          <w:color w:val="333333"/>
          <w:lang w:val="en-US"/>
        </w:rPr>
        <w:t>. Th ose who wish to pursue further studies enter either the two-year</w:t>
      </w:r>
      <w:r w:rsidRPr="00C40532">
        <w:rPr>
          <w:rStyle w:val="apple-converted-space"/>
          <w:color w:val="333333"/>
          <w:lang w:val="en-US"/>
        </w:rPr>
        <w:t> </w:t>
      </w:r>
      <w:r w:rsidRPr="00C40532">
        <w:rPr>
          <w:i/>
          <w:iCs/>
          <w:color w:val="333333"/>
          <w:lang w:val="en-US"/>
        </w:rPr>
        <w:t>lycée d'enseignement professionel</w:t>
      </w:r>
      <w:r w:rsidRPr="00C40532">
        <w:rPr>
          <w:rStyle w:val="apple-converted-space"/>
          <w:color w:val="333333"/>
          <w:lang w:val="en-US"/>
        </w:rPr>
        <w:t> </w:t>
      </w:r>
      <w:r w:rsidRPr="00C40532">
        <w:rPr>
          <w:color w:val="333333"/>
          <w:lang w:val="en-US"/>
        </w:rPr>
        <w:t>or the three-year</w:t>
      </w:r>
      <w:r w:rsidRPr="00C40532">
        <w:rPr>
          <w:rStyle w:val="apple-converted-space"/>
          <w:color w:val="333333"/>
          <w:lang w:val="en-US"/>
        </w:rPr>
        <w:t> </w:t>
      </w:r>
      <w:r w:rsidRPr="00C40532">
        <w:rPr>
          <w:i/>
          <w:iCs/>
          <w:color w:val="333333"/>
          <w:lang w:val="en-US"/>
        </w:rPr>
        <w:t xml:space="preserve">lycée d'enseignement général </w:t>
      </w:r>
      <w:proofErr w:type="gramStart"/>
      <w:r w:rsidRPr="00C40532">
        <w:rPr>
          <w:i/>
          <w:iCs/>
          <w:color w:val="333333"/>
          <w:lang w:val="en-US"/>
        </w:rPr>
        <w:t>et</w:t>
      </w:r>
      <w:proofErr w:type="gramEnd"/>
      <w:r w:rsidRPr="00C40532">
        <w:rPr>
          <w:i/>
          <w:iCs/>
          <w:color w:val="333333"/>
          <w:lang w:val="en-US"/>
        </w:rPr>
        <w:t xml:space="preserve"> technologique</w:t>
      </w:r>
      <w:r w:rsidRPr="00C40532">
        <w:rPr>
          <w:color w:val="333333"/>
          <w:lang w:val="en-US"/>
        </w:rPr>
        <w:t>. The former prepares students for a certificate of vocational competence, the latter for the</w:t>
      </w:r>
      <w:r w:rsidRPr="00C40532">
        <w:rPr>
          <w:rStyle w:val="apple-converted-space"/>
          <w:color w:val="333333"/>
          <w:lang w:val="en-US"/>
        </w:rPr>
        <w:t> </w:t>
      </w:r>
      <w:r w:rsidRPr="00C40532">
        <w:rPr>
          <w:i/>
          <w:iCs/>
          <w:color w:val="333333"/>
          <w:lang w:val="en-US"/>
        </w:rPr>
        <w:t>baccalauréat</w:t>
      </w:r>
      <w:r w:rsidRPr="00C40532">
        <w:rPr>
          <w:color w:val="333333"/>
          <w:lang w:val="en-US"/>
        </w:rPr>
        <w:t>, which is a prerequisite for higher education. Choice of a</w:t>
      </w:r>
      <w:r w:rsidRPr="00C40532">
        <w:rPr>
          <w:rStyle w:val="apple-converted-space"/>
          <w:color w:val="333333"/>
          <w:lang w:val="en-US"/>
        </w:rPr>
        <w:t> </w:t>
      </w:r>
      <w:r w:rsidRPr="00C40532">
        <w:rPr>
          <w:i/>
          <w:iCs/>
          <w:color w:val="333333"/>
          <w:lang w:val="en-US"/>
        </w:rPr>
        <w:t>lycée</w:t>
      </w:r>
      <w:r w:rsidRPr="00C40532">
        <w:rPr>
          <w:rStyle w:val="apple-converted-space"/>
          <w:color w:val="333333"/>
          <w:lang w:val="en-US"/>
        </w:rPr>
        <w:t> </w:t>
      </w:r>
      <w:r w:rsidRPr="00C40532">
        <w:rPr>
          <w:color w:val="333333"/>
          <w:lang w:val="en-US"/>
        </w:rPr>
        <w:t>depends on aptitude test results. The academic year runs from September to June. The primary language of instruction is French.</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lastRenderedPageBreak/>
        <w:t>In 2001, nearly all children between the ages of three and five were enrolled in some type of preschool program. Primary school enrollment in 2003 was estimated at about 99% of age-eligible students. The same year, secondary school enrollment was about 94% of age-eligible students. It is estimated that about 98% of all students complete their primary education. The student-to-teacher ratio for primary school was at about 19:1 in 2003; the ratio for secondary school was about 12:1.</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There are about 70 public universities within 26</w:t>
      </w:r>
      <w:r w:rsidRPr="00C40532">
        <w:rPr>
          <w:rStyle w:val="apple-converted-space"/>
          <w:color w:val="333333"/>
          <w:lang w:val="en-US"/>
        </w:rPr>
        <w:t> </w:t>
      </w:r>
      <w:r w:rsidRPr="00C40532">
        <w:rPr>
          <w:i/>
          <w:iCs/>
          <w:color w:val="333333"/>
          <w:lang w:val="en-US"/>
        </w:rPr>
        <w:t>académies</w:t>
      </w:r>
      <w:r w:rsidRPr="00C40532">
        <w:rPr>
          <w:color w:val="333333"/>
          <w:lang w:val="en-US"/>
        </w:rPr>
        <w:t>, which now act as administrative units. Before the subdivision of these 26 units, the oldest and most important included Aix-Mar-seille (founded in 1409), Besançon (1691), Bordeaux (1441),</w:t>
      </w:r>
      <w:r w:rsidRPr="00C40532">
        <w:rPr>
          <w:rStyle w:val="apple-converted-space"/>
          <w:color w:val="333333"/>
          <w:lang w:val="en-US"/>
        </w:rPr>
        <w:t> </w:t>
      </w:r>
      <w:r w:rsidR="00AA3725">
        <w:fldChar w:fldCharType="begin"/>
      </w:r>
      <w:r w:rsidR="00AA3725" w:rsidRPr="003E0431">
        <w:rPr>
          <w:lang w:val="en-US"/>
        </w:rPr>
        <w:instrText>HYPERLINK "http://www.encyclopedia.com/places/britain-ireland-france-and-low-countries/french-political-geography/caen"</w:instrText>
      </w:r>
      <w:r w:rsidR="00AA3725">
        <w:fldChar w:fldCharType="separate"/>
      </w:r>
      <w:r w:rsidRPr="00C40532">
        <w:rPr>
          <w:rStyle w:val="a5"/>
          <w:color w:val="2196F3"/>
          <w:lang w:val="en-US"/>
        </w:rPr>
        <w:t>Caen</w:t>
      </w:r>
      <w:r w:rsidR="00AA3725">
        <w:fldChar w:fldCharType="end"/>
      </w:r>
      <w:r w:rsidRPr="00C40532">
        <w:rPr>
          <w:rStyle w:val="apple-converted-space"/>
          <w:color w:val="333333"/>
          <w:lang w:val="en-US"/>
        </w:rPr>
        <w:t> </w:t>
      </w:r>
      <w:r w:rsidRPr="00C40532">
        <w:rPr>
          <w:color w:val="333333"/>
          <w:lang w:val="en-US"/>
        </w:rPr>
        <w:t>(1432), Dijon (1722), Grenoble (1339), Lille (1562), Montpellier (1180, reinstituted 1289), Nancy-Metz (1572), Paris (1150), Poitiers (1432), Rennes (1735, founded at Nantes 1461), Strasbourg (1538), and Toulouse (1229). The old University of Paris, also referred to as the</w:t>
      </w:r>
      <w:r w:rsidRPr="00C40532">
        <w:rPr>
          <w:rStyle w:val="apple-converted-space"/>
          <w:color w:val="333333"/>
          <w:lang w:val="en-US"/>
        </w:rPr>
        <w:t> </w:t>
      </w:r>
      <w:r w:rsidR="00AA3725">
        <w:fldChar w:fldCharType="begin"/>
      </w:r>
      <w:r w:rsidR="00AA3725" w:rsidRPr="003E0431">
        <w:rPr>
          <w:lang w:val="en-US"/>
        </w:rPr>
        <w:instrText>HYPERLINK "http://www.encyclopedia.com/social-sciences-and-law/education/colleges-international/sorbonne"</w:instrText>
      </w:r>
      <w:r w:rsidR="00AA3725">
        <w:fldChar w:fldCharType="separate"/>
      </w:r>
      <w:r w:rsidRPr="00C40532">
        <w:rPr>
          <w:rStyle w:val="a5"/>
          <w:color w:val="2196F3"/>
          <w:lang w:val="en-US"/>
        </w:rPr>
        <w:t>Sorbonne</w:t>
      </w:r>
      <w:r w:rsidR="00AA3725">
        <w:fldChar w:fldCharType="end"/>
      </w:r>
      <w:r w:rsidRPr="00C40532">
        <w:rPr>
          <w:color w:val="333333"/>
          <w:lang w:val="en-US"/>
        </w:rPr>
        <w:t>, was the oldest in France and one of the leading institutions of higher learning in the world; it is now divided into 13 units, only a few of which are at the ancient Left Bank site. There are Catholic universities at Argers, Lille, Lyon, and Toulouse.</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Besides the universities and specialized schools (such as</w:t>
      </w:r>
      <w:r w:rsidRPr="00C40532">
        <w:rPr>
          <w:rStyle w:val="apple-converted-space"/>
          <w:color w:val="333333"/>
          <w:lang w:val="en-US"/>
        </w:rPr>
        <w:t> </w:t>
      </w:r>
      <w:r w:rsidRPr="00C40532">
        <w:rPr>
          <w:color w:val="333333"/>
          <w:lang w:val="en-US"/>
        </w:rPr>
        <w:t>École Normale Supérieure, which prepares teachers for secondary and postsecondary positions), higher educational institutions include the prestigious Grandes</w:t>
      </w:r>
      <w:r w:rsidRPr="00C40532">
        <w:rPr>
          <w:rStyle w:val="apple-converted-space"/>
          <w:color w:val="333333"/>
          <w:lang w:val="en-US"/>
        </w:rPr>
        <w:t> </w:t>
      </w:r>
      <w:r w:rsidRPr="00C40532">
        <w:rPr>
          <w:color w:val="333333"/>
          <w:lang w:val="en-US"/>
        </w:rPr>
        <w:t>Écoles, which include the</w:t>
      </w:r>
      <w:r w:rsidRPr="00C40532">
        <w:rPr>
          <w:rStyle w:val="apple-converted-space"/>
          <w:color w:val="333333"/>
          <w:lang w:val="en-US"/>
        </w:rPr>
        <w:t> </w:t>
      </w:r>
      <w:r w:rsidRPr="00C40532">
        <w:rPr>
          <w:color w:val="333333"/>
          <w:lang w:val="en-US"/>
        </w:rPr>
        <w:t>École Nationale d'Administration,</w:t>
      </w:r>
      <w:r w:rsidRPr="00C40532">
        <w:rPr>
          <w:rStyle w:val="apple-converted-space"/>
          <w:color w:val="333333"/>
          <w:lang w:val="en-US"/>
        </w:rPr>
        <w:t> </w:t>
      </w:r>
      <w:r w:rsidRPr="00C40532">
        <w:rPr>
          <w:color w:val="333333"/>
          <w:lang w:val="en-US"/>
        </w:rPr>
        <w:t>École Normale Supérieure, Conservatoire National des Arts et Métiers, and</w:t>
      </w:r>
      <w:r w:rsidRPr="00C40532">
        <w:rPr>
          <w:rStyle w:val="apple-converted-space"/>
          <w:color w:val="333333"/>
          <w:lang w:val="en-US"/>
        </w:rPr>
        <w:t> </w:t>
      </w:r>
      <w:r w:rsidRPr="00C40532">
        <w:rPr>
          <w:color w:val="333333"/>
          <w:lang w:val="en-US"/>
        </w:rPr>
        <w:t>École Polytechnique. Entrance is by competitive examination. Advanced-level research organizations include the Collège de France,</w:t>
      </w:r>
      <w:r w:rsidRPr="00C40532">
        <w:rPr>
          <w:rStyle w:val="apple-converted-space"/>
          <w:color w:val="333333"/>
          <w:lang w:val="en-US"/>
        </w:rPr>
        <w:t> </w:t>
      </w:r>
      <w:r w:rsidRPr="00C40532">
        <w:rPr>
          <w:color w:val="333333"/>
          <w:lang w:val="en-US"/>
        </w:rPr>
        <w:t>École Pratique des Hautes</w:t>
      </w:r>
      <w:r w:rsidRPr="00C40532">
        <w:rPr>
          <w:rStyle w:val="apple-converted-space"/>
          <w:color w:val="333333"/>
          <w:lang w:val="en-US"/>
        </w:rPr>
        <w:t> </w:t>
      </w:r>
      <w:r w:rsidRPr="00C40532">
        <w:rPr>
          <w:color w:val="333333"/>
          <w:lang w:val="en-US"/>
        </w:rPr>
        <w:t>Études, and</w:t>
      </w:r>
      <w:r w:rsidRPr="00C40532">
        <w:rPr>
          <w:rStyle w:val="apple-converted-space"/>
          <w:color w:val="333333"/>
          <w:lang w:val="en-US"/>
        </w:rPr>
        <w:t> </w:t>
      </w:r>
      <w:r w:rsidRPr="00C40532">
        <w:rPr>
          <w:color w:val="333333"/>
          <w:lang w:val="en-US"/>
        </w:rPr>
        <w:t>École des Hautes</w:t>
      </w:r>
      <w:r w:rsidRPr="00C40532">
        <w:rPr>
          <w:rStyle w:val="apple-converted-space"/>
          <w:color w:val="333333"/>
          <w:lang w:val="en-US"/>
        </w:rPr>
        <w:t> </w:t>
      </w:r>
      <w:r w:rsidRPr="00C40532">
        <w:rPr>
          <w:color w:val="333333"/>
          <w:lang w:val="en-US"/>
        </w:rPr>
        <w:t xml:space="preserve">Études en Sciences Sociales. In 2003, about 56% of the tertiary age </w:t>
      </w:r>
      <w:proofErr w:type="gramStart"/>
      <w:r w:rsidRPr="00C40532">
        <w:rPr>
          <w:color w:val="333333"/>
          <w:lang w:val="en-US"/>
        </w:rPr>
        <w:t>population were</w:t>
      </w:r>
      <w:proofErr w:type="gramEnd"/>
      <w:r w:rsidRPr="00C40532">
        <w:rPr>
          <w:color w:val="333333"/>
          <w:lang w:val="en-US"/>
        </w:rPr>
        <w:t xml:space="preserve"> enrolled in some type of higher education program; with 49% for men and 63% for women. The adult literacy rate has been estimated at about 98%.</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As of 2003, public expenditure on education was estimated at 5.6% of GDP, or 11.4% of total government expenditures.</w:t>
      </w:r>
    </w:p>
    <w:p w:rsidR="00472A60" w:rsidRPr="00C40532" w:rsidRDefault="00472A60" w:rsidP="00472A60">
      <w:pPr>
        <w:shd w:val="clear" w:color="auto" w:fill="FFFFFF"/>
        <w:spacing w:after="0" w:line="240" w:lineRule="auto"/>
        <w:ind w:right="22" w:firstLine="567"/>
        <w:jc w:val="both"/>
        <w:rPr>
          <w:rStyle w:val="hps"/>
          <w:rFonts w:ascii="Times New Roman" w:hAnsi="Times New Roman" w:cs="Times New Roman"/>
          <w:b/>
          <w:sz w:val="24"/>
          <w:szCs w:val="24"/>
          <w:lang w:val="en-US"/>
        </w:rPr>
      </w:pPr>
    </w:p>
    <w:p w:rsidR="00472A60" w:rsidRPr="00C40532" w:rsidRDefault="00472A60" w:rsidP="00472A60">
      <w:pPr>
        <w:shd w:val="clear" w:color="auto" w:fill="FFFFFF"/>
        <w:spacing w:after="0" w:line="240" w:lineRule="auto"/>
        <w:ind w:right="22" w:firstLine="567"/>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Specifics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tax system</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Characteristics of the main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types of taxes</w:t>
      </w:r>
      <w:r w:rsidRPr="00C40532">
        <w:rPr>
          <w:rFonts w:ascii="Times New Roman" w:hAnsi="Times New Roman" w:cs="Times New Roman"/>
          <w:b/>
          <w:sz w:val="24"/>
          <w:szCs w:val="24"/>
          <w:lang w:val="en-US"/>
        </w:rPr>
        <w:t>.</w:t>
      </w:r>
      <w:proofErr w:type="gramEnd"/>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As with most industrialized democratic systems, France's tax system is complex and nuanced, though also subject to recent movements to reductions and simplifications. The basic corporate income tax rate for filings in 2006 was 33.33%, with a social surcharge of 3.3% that is applied when the global corporate income tax charge is over €763,000. A 1.5% surcharge for 2005 was abolished for fiscal years ending on or after 1 January 2006. Long-term capital gains by firms were taxed at a basic rate of 15%, plus surcharges. However, starting in 2006, the tax rate on long-term gains from qualified shareholdings received by companies will drop to 8%. Short-term capital gains are taxed according to the progressive individual income tax schedule. The main local tax is the business tax, charged on 84% of a value derived from the rental value of the premises, 16% of the value fixed assets, and 18% of annual payroll, and at rates set by local authorities each year. The business tax (taxe professionelle) varies significantly from place to place, with a range of 0–4%.</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Individual income tax in France is assessed in accordance with a progressive schedule of statutory rates up to 48.09%. However, French tax law contains many provisions for exemptions and targeted reductions from taxable income, so that the actual income tax paid is highly individualized. Taxable capital gains for individuals include the sale of immovable property, securities and land (excluding bonds or the individual's primary residence). Gains that exceed the annual exemption are subject to a 27% tax rate. Past the fifth year, the capital gain is reduced by 10% per each year of ownership. Exempt are capital gains on the sale of the principal residence. If the sale of securities exceeds €15,000, the gains are taxed at a 27% rate.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main indirect tax is the value-added tax (VAT) first introduced in January 1968. The standard rate in 2005 was 19.6%, with a 5.5% on most foodstuffs and agricultural products, medicines, hotel rooms, books, water and newspapers. A 2.1% rate applies to certain medicines that </w:t>
      </w:r>
      <w:r w:rsidRPr="00C40532">
        <w:rPr>
          <w:rFonts w:ascii="Times New Roman" w:hAnsi="Times New Roman" w:cs="Times New Roman"/>
          <w:sz w:val="24"/>
          <w:szCs w:val="24"/>
          <w:lang w:val="en-US"/>
        </w:rPr>
        <w:lastRenderedPageBreak/>
        <w:t>are reimbursed by the social security system. Nonindustrial businesses that do not pay the VAT on consumption (banks, insurance companies, the medical sector, associations, nonprofit organizations, etc.) pay a wage tax to cover social levies assessed according to a progressive schedule. Generally, social security contributions by employers range from range from approximately 35–45%, with the employee responsible for 18–23%. Inheritance taxes (succession duties) range from 5–60%, as do gift (donations) taxes. There is also a patrimonial tax of 3% on the fair market value of property owned in France, although foreign companies whose French financial assets are more than 50% are exempt. Also, foreign property holders may be exempt according to the terms of a bilateral tax treaty with France. (France is party to a numerous bilateral tax treaties with provisions that can greatly reduce tax liabilities for foreign investors.) Local taxes include a property tax, charged to owners of land and buildings, and a housing tax, charged to occupants of residential premises, assessed according to the rental value of the property. The social security system is operated separately from the general tax system, financed by contributions levied on earned income in accordance with four regimes: a general regime covering 80% of French citizens, a regime for agricultural workers, a special regime for civil servants and railway workers, and a regime for the self-employed. Tax levies have been used, however, to shore up the finances in the social security system.</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shd w:val="clear" w:color="auto" w:fill="FFFFFF"/>
          <w:lang w:val="en-US"/>
        </w:rPr>
        <w:t>There are many taxes in France. They can be classified according to the institution which collects and benefit from them and to the people who pay them. Taxes are monetary benefits imposed on people according to their capacities and without return of benefit, for the purpose of public expenditure to achieve economic and social goals set by the government. As for</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"https://en.wikipedia.org/wiki/Tariffs" \o "Tariffs"</w:instrText>
      </w:r>
      <w:r w:rsidR="00AA3725">
        <w:fldChar w:fldCharType="separate"/>
      </w:r>
      <w:r w:rsidRPr="00C40532">
        <w:rPr>
          <w:rStyle w:val="a5"/>
          <w:rFonts w:ascii="Times New Roman" w:hAnsi="Times New Roman" w:cs="Times New Roman"/>
          <w:sz w:val="24"/>
          <w:szCs w:val="24"/>
          <w:shd w:val="clear" w:color="auto" w:fill="FFFFFF"/>
          <w:lang w:val="en-US"/>
        </w:rPr>
        <w:t>tariffs</w:t>
      </w:r>
      <w:r w:rsidR="00AA3725">
        <w:fldChar w:fldCharType="end"/>
      </w:r>
      <w:r w:rsidRPr="00C40532">
        <w:rPr>
          <w:rFonts w:ascii="Times New Roman" w:hAnsi="Times New Roman" w:cs="Times New Roman"/>
          <w:sz w:val="24"/>
          <w:szCs w:val="24"/>
          <w:shd w:val="clear" w:color="auto" w:fill="FFFFFF"/>
          <w:lang w:val="en-US"/>
        </w:rPr>
        <w:t>, they are different from taxes because of their strictly economic aspect; their purpose is to protect the</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"https://en.wikipedia.org/wiki/Domestic_market" \o "Domestic market"</w:instrText>
      </w:r>
      <w:r w:rsidR="00AA3725">
        <w:fldChar w:fldCharType="separate"/>
      </w:r>
      <w:r w:rsidRPr="00C40532">
        <w:rPr>
          <w:rStyle w:val="a5"/>
          <w:rFonts w:ascii="Times New Roman" w:hAnsi="Times New Roman" w:cs="Times New Roman"/>
          <w:sz w:val="24"/>
          <w:szCs w:val="24"/>
          <w:shd w:val="clear" w:color="auto" w:fill="FFFFFF"/>
          <w:lang w:val="en-US"/>
        </w:rPr>
        <w:t>domestic market</w:t>
      </w:r>
      <w:r w:rsidR="00AA3725">
        <w:fldChar w:fldCharType="end"/>
      </w:r>
      <w:r w:rsidRPr="00C40532">
        <w:rPr>
          <w:rFonts w:ascii="Times New Roman" w:hAnsi="Times New Roman" w:cs="Times New Roman"/>
          <w:sz w:val="24"/>
          <w:szCs w:val="24"/>
          <w:shd w:val="clear" w:color="auto" w:fill="FFFFFF"/>
          <w:lang w:val="en-US"/>
        </w:rPr>
        <w:t>. However, some charges levied by the customs administration are taxes: the</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"https://en.wikipedia.org/wiki/Value_added_tax" \o "Value added tax"</w:instrText>
      </w:r>
      <w:r w:rsidR="00AA3725">
        <w:fldChar w:fldCharType="separate"/>
      </w:r>
      <w:r w:rsidRPr="00C40532">
        <w:rPr>
          <w:rStyle w:val="a5"/>
          <w:rFonts w:ascii="Times New Roman" w:hAnsi="Times New Roman" w:cs="Times New Roman"/>
          <w:sz w:val="24"/>
          <w:szCs w:val="24"/>
          <w:shd w:val="clear" w:color="auto" w:fill="FFFFFF"/>
          <w:lang w:val="en-US"/>
        </w:rPr>
        <w:t>value added tax</w:t>
      </w:r>
      <w:r w:rsidR="00AA3725">
        <w:fldChar w:fldCharType="end"/>
      </w:r>
      <w:r w:rsidRPr="00C40532">
        <w:rPr>
          <w:rStyle w:val="apple-converted-space"/>
          <w:rFonts w:ascii="Times New Roman" w:hAnsi="Times New Roman" w:cs="Times New Roman"/>
          <w:sz w:val="24"/>
          <w:szCs w:val="24"/>
          <w:shd w:val="clear" w:color="auto" w:fill="FFFFFF"/>
          <w:lang w:val="en-US"/>
        </w:rPr>
        <w:t> </w:t>
      </w:r>
      <w:r w:rsidRPr="00C40532">
        <w:rPr>
          <w:rFonts w:ascii="Times New Roman" w:hAnsi="Times New Roman" w:cs="Times New Roman"/>
          <w:sz w:val="24"/>
          <w:szCs w:val="24"/>
          <w:shd w:val="clear" w:color="auto" w:fill="FFFFFF"/>
          <w:lang w:val="en-US"/>
        </w:rPr>
        <w:t>levied on goods from non-members of the</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"https://en.wikipedia.org/wiki/European_Union" \o "European Union"</w:instrText>
      </w:r>
      <w:r w:rsidR="00AA3725">
        <w:fldChar w:fldCharType="separate"/>
      </w:r>
      <w:r w:rsidRPr="00C40532">
        <w:rPr>
          <w:rStyle w:val="a5"/>
          <w:rFonts w:ascii="Times New Roman" w:hAnsi="Times New Roman" w:cs="Times New Roman"/>
          <w:sz w:val="24"/>
          <w:szCs w:val="24"/>
          <w:shd w:val="clear" w:color="auto" w:fill="FFFFFF"/>
          <w:lang w:val="en-US"/>
        </w:rPr>
        <w:t>European Union</w:t>
      </w:r>
      <w:r w:rsidR="00AA3725">
        <w:fldChar w:fldCharType="end"/>
      </w:r>
      <w:r w:rsidRPr="00C40532">
        <w:rPr>
          <w:rFonts w:ascii="Times New Roman" w:hAnsi="Times New Roman" w:cs="Times New Roman"/>
          <w:sz w:val="24"/>
          <w:szCs w:val="24"/>
          <w:shd w:val="clear" w:color="auto" w:fill="FFFFFF"/>
          <w:lang w:val="en-US"/>
        </w:rPr>
        <w:t>, the tax on petroleum products, which applies regardless of the origin of products, and other taxes. Finally, although they are compulsory,</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"https://en.wikipedia.org/wiki/Payroll_tax" \o "Payroll tax"</w:instrText>
      </w:r>
      <w:r w:rsidR="00AA3725">
        <w:fldChar w:fldCharType="separate"/>
      </w:r>
      <w:r w:rsidRPr="00C40532">
        <w:rPr>
          <w:rStyle w:val="a5"/>
          <w:rFonts w:ascii="Times New Roman" w:hAnsi="Times New Roman" w:cs="Times New Roman"/>
          <w:sz w:val="24"/>
          <w:szCs w:val="24"/>
          <w:shd w:val="clear" w:color="auto" w:fill="FFFFFF"/>
          <w:lang w:val="en-US"/>
        </w:rPr>
        <w:t>social security contributions</w:t>
      </w:r>
      <w:r w:rsidR="00AA3725">
        <w:fldChar w:fldCharType="end"/>
      </w:r>
      <w:r w:rsidRPr="00C40532">
        <w:rPr>
          <w:rStyle w:val="apple-converted-space"/>
          <w:rFonts w:ascii="Times New Roman" w:hAnsi="Times New Roman" w:cs="Times New Roman"/>
          <w:sz w:val="24"/>
          <w:szCs w:val="24"/>
          <w:shd w:val="clear" w:color="auto" w:fill="FFFFFF"/>
          <w:lang w:val="en-US"/>
        </w:rPr>
        <w:t> </w:t>
      </w:r>
      <w:r w:rsidRPr="00C40532">
        <w:rPr>
          <w:rFonts w:ascii="Times New Roman" w:hAnsi="Times New Roman" w:cs="Times New Roman"/>
          <w:sz w:val="24"/>
          <w:szCs w:val="24"/>
          <w:shd w:val="clear" w:color="auto" w:fill="FFFFFF"/>
          <w:lang w:val="en-US"/>
        </w:rPr>
        <w:t>are not taxes as they are collected for one purpose –</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"https://en.wikipedia.org/wiki/Welfare_State" \o "Welfare State"</w:instrText>
      </w:r>
      <w:r w:rsidR="00AA3725">
        <w:fldChar w:fldCharType="separate"/>
      </w:r>
      <w:r w:rsidRPr="00C40532">
        <w:rPr>
          <w:rStyle w:val="a5"/>
          <w:rFonts w:ascii="Times New Roman" w:hAnsi="Times New Roman" w:cs="Times New Roman"/>
          <w:sz w:val="24"/>
          <w:szCs w:val="24"/>
          <w:shd w:val="clear" w:color="auto" w:fill="FFFFFF"/>
          <w:lang w:val="en-US"/>
        </w:rPr>
        <w:t>social protection</w:t>
      </w:r>
      <w:r w:rsidR="00AA3725">
        <w:fldChar w:fldCharType="end"/>
      </w:r>
      <w:r w:rsidRPr="00C40532">
        <w:rPr>
          <w:rStyle w:val="apple-converted-space"/>
          <w:rFonts w:ascii="Times New Roman" w:hAnsi="Times New Roman" w:cs="Times New Roman"/>
          <w:sz w:val="24"/>
          <w:szCs w:val="24"/>
          <w:shd w:val="clear" w:color="auto" w:fill="FFFFFF"/>
          <w:lang w:val="en-US"/>
        </w:rPr>
        <w:t> </w:t>
      </w:r>
      <w:r w:rsidRPr="00C40532">
        <w:rPr>
          <w:rFonts w:ascii="Times New Roman" w:hAnsi="Times New Roman" w:cs="Times New Roman"/>
          <w:sz w:val="24"/>
          <w:szCs w:val="24"/>
          <w:shd w:val="clear" w:color="auto" w:fill="FFFFFF"/>
          <w:lang w:val="en-US"/>
        </w:rPr>
        <w:t>– and as the taxpayers might benefit from these expenses. Some other taxes, based on personal income, are allocated to social agencies and do not give taxpayers the right to benefit from them.</w:t>
      </w:r>
      <w:r w:rsidRPr="00C40532">
        <w:rPr>
          <w:rFonts w:ascii="Times New Roman" w:hAnsi="Times New Roman" w:cs="Times New Roman"/>
          <w:sz w:val="24"/>
          <w:szCs w:val="24"/>
          <w:lang w:val="en-US"/>
        </w:rPr>
        <w:t xml:space="preserve"> </w:t>
      </w:r>
    </w:p>
    <w:p w:rsidR="00472A60" w:rsidRPr="00C40532" w:rsidRDefault="00472A60" w:rsidP="00472A60">
      <w:pPr>
        <w:shd w:val="clear" w:color="auto" w:fill="FFFFFF"/>
        <w:spacing w:after="0" w:line="240" w:lineRule="auto"/>
        <w:ind w:firstLine="384"/>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Taxes generally fall into the following broad categories:</w:t>
      </w:r>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hyperlink r:id="rId31" w:tooltip="Income tax" w:history="1">
        <w:r w:rsidR="00472A60" w:rsidRPr="00C40532">
          <w:rPr>
            <w:rFonts w:ascii="Times New Roman" w:hAnsi="Times New Roman" w:cs="Times New Roman"/>
            <w:sz w:val="24"/>
            <w:szCs w:val="24"/>
          </w:rPr>
          <w:t>Income tax</w:t>
        </w:r>
      </w:hyperlink>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hyperlink r:id="rId32" w:tooltip="Payroll tax" w:history="1">
        <w:r w:rsidR="00472A60" w:rsidRPr="00C40532">
          <w:rPr>
            <w:rFonts w:ascii="Times New Roman" w:hAnsi="Times New Roman" w:cs="Times New Roman"/>
            <w:sz w:val="24"/>
            <w:szCs w:val="24"/>
          </w:rPr>
          <w:t>Payroll tax</w:t>
        </w:r>
      </w:hyperlink>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hyperlink r:id="rId33" w:tooltip="Property tax" w:history="1">
        <w:r w:rsidR="00472A60" w:rsidRPr="00C40532">
          <w:rPr>
            <w:rFonts w:ascii="Times New Roman" w:hAnsi="Times New Roman" w:cs="Times New Roman"/>
            <w:sz w:val="24"/>
            <w:szCs w:val="24"/>
          </w:rPr>
          <w:t>Property tax</w:t>
        </w:r>
      </w:hyperlink>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hyperlink r:id="rId34" w:tooltip="Consumption tax" w:history="1">
        <w:r w:rsidR="00472A60" w:rsidRPr="00C40532">
          <w:rPr>
            <w:rFonts w:ascii="Times New Roman" w:hAnsi="Times New Roman" w:cs="Times New Roman"/>
            <w:sz w:val="24"/>
            <w:szCs w:val="24"/>
          </w:rPr>
          <w:t>Consumption tax</w:t>
        </w:r>
      </w:hyperlink>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lang w:val="en-US"/>
        </w:rPr>
      </w:pPr>
      <w:r>
        <w:fldChar w:fldCharType="begin"/>
      </w:r>
      <w:r w:rsidRPr="003E0431">
        <w:rPr>
          <w:lang w:val="en-US"/>
        </w:rPr>
        <w:instrText>HYPERLINK "https://en.wikipedia.org/wiki/Tariff" \o "Tariff"</w:instrText>
      </w:r>
      <w:r>
        <w:fldChar w:fldCharType="separate"/>
      </w:r>
      <w:r w:rsidR="00472A60" w:rsidRPr="00C40532">
        <w:rPr>
          <w:rFonts w:ascii="Times New Roman" w:hAnsi="Times New Roman" w:cs="Times New Roman"/>
          <w:sz w:val="24"/>
          <w:szCs w:val="24"/>
          <w:lang w:val="en-US"/>
        </w:rPr>
        <w:t>Tariff</w:t>
      </w:r>
      <w:r>
        <w:fldChar w:fldCharType="end"/>
      </w:r>
      <w:r w:rsidR="00472A60" w:rsidRPr="00C40532">
        <w:rPr>
          <w:rFonts w:ascii="Times New Roman" w:hAnsi="Times New Roman" w:cs="Times New Roman"/>
          <w:sz w:val="24"/>
          <w:szCs w:val="24"/>
          <w:lang w:val="en-US"/>
        </w:rPr>
        <w:t> (taxes on international trade)</w:t>
      </w:r>
    </w:p>
    <w:p w:rsidR="00472A60" w:rsidRPr="00C40532" w:rsidRDefault="00472A60"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Capitation, a fixed tax charged per person</w:t>
      </w:r>
    </w:p>
    <w:p w:rsidR="00472A60" w:rsidRPr="00C40532" w:rsidRDefault="00472A60"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r w:rsidRPr="00C40532">
        <w:rPr>
          <w:rFonts w:ascii="Times New Roman" w:hAnsi="Times New Roman" w:cs="Times New Roman"/>
          <w:sz w:val="24"/>
          <w:szCs w:val="24"/>
        </w:rPr>
        <w:t>Fees and tolls</w:t>
      </w:r>
    </w:p>
    <w:p w:rsidR="00472A60" w:rsidRPr="00C40532" w:rsidRDefault="00472A60"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Effective taxes, government policies that aren't explicitly taxes, but result in income to the government through losses to the public</w:t>
      </w:r>
    </w:p>
    <w:p w:rsidR="00472A60" w:rsidRPr="00C40532" w:rsidRDefault="00472A60" w:rsidP="00472A60">
      <w:pPr>
        <w:shd w:val="clear" w:color="auto" w:fill="FFFFFF"/>
        <w:spacing w:after="0" w:line="240" w:lineRule="auto"/>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right="22" w:firstLine="384"/>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6.</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Problems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functioning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French</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public finances and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problems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at the present stage</w:t>
      </w:r>
    </w:p>
    <w:p w:rsidR="00472A60" w:rsidRPr="00C40532" w:rsidRDefault="00472A60" w:rsidP="00472A60">
      <w:pPr>
        <w:shd w:val="clear" w:color="auto" w:fill="FFFFFF"/>
        <w:spacing w:after="0" w:line="240" w:lineRule="auto"/>
        <w:ind w:firstLine="384"/>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fiscal year runs from 1 January to 31 December. Deficits have been commonplace, but in recent years, efforts have been made to cut back on the growth of taxes and government spending and, since 1986, to remove major state enterprises from the expense of government ownership. Deficit reduction became a top priority of the government when France committed to the European Monetary Union (EMU). Maastricht Treaty targets for the EMU required France to reduce the government's budget deficit to 3% of GDP by 1997. The government still maintains a fairly tight </w:t>
      </w:r>
      <w:r w:rsidRPr="00C40532">
        <w:rPr>
          <w:rFonts w:ascii="Times New Roman" w:hAnsi="Times New Roman" w:cs="Times New Roman"/>
          <w:sz w:val="24"/>
          <w:szCs w:val="24"/>
          <w:lang w:val="en-US"/>
        </w:rPr>
        <w:lastRenderedPageBreak/>
        <w:t>hold on myriad enterprises, ranging from energy to financial services to industry; government spending accounted for 52% of GDP in 2001.</w:t>
      </w:r>
    </w:p>
    <w:p w:rsidR="00472A60" w:rsidRPr="00C40532" w:rsidRDefault="00472A60" w:rsidP="00472A60">
      <w:pPr>
        <w:shd w:val="clear" w:color="auto" w:fill="FFFFFF"/>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lang w:val="en-US"/>
        </w:rPr>
        <w:t xml:space="preserve">The US Central Intelligence Agency (CIA) estimated that in 2005 France's central government took in revenues of approximately $1.06 trillion and had expenditures of $1.1 trillion. </w:t>
      </w:r>
      <w:r w:rsidRPr="00C40532">
        <w:rPr>
          <w:rFonts w:ascii="Times New Roman" w:hAnsi="Times New Roman" w:cs="Times New Roman"/>
          <w:sz w:val="24"/>
          <w:szCs w:val="24"/>
        </w:rPr>
        <w:t>Revenues minus expenditures totaled approximately -$84 billion. Public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3713"/>
        <w:gridCol w:w="780"/>
        <w:gridCol w:w="900"/>
      </w:tblGrid>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Revenue and Grants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674.87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100.0%</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Tax revenue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351.19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52.0%</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Social contributions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277.86</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41.2%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Grants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4.36</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0.6%</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Other revenue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41.46</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6.1%</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Expenditures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727.39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General public services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110.77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15.2%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Defense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37.51</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Public order and safety</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12.29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1.7%</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Economic affairs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67.27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Environmental protection</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1.47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Housing and community amenities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6.04</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0.8%</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Health</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Recreational, culture, and religion</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5.41</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0.7%</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Education</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70.97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9.8%</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Social protection</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w:t>
            </w:r>
          </w:p>
        </w:tc>
      </w:tr>
      <w:tr w:rsidR="00472A60" w:rsidRPr="003E0431" w:rsidTr="000A0C98">
        <w:tc>
          <w:tcPr>
            <w:tcW w:w="0" w:type="auto"/>
            <w:gridSpan w:val="3"/>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data not available or not significant.</w:t>
            </w:r>
          </w:p>
        </w:tc>
      </w:tr>
    </w:tbl>
    <w:p w:rsidR="00472A60" w:rsidRPr="00C40532" w:rsidRDefault="00472A60" w:rsidP="00472A60">
      <w:pPr>
        <w:shd w:val="clear" w:color="auto" w:fill="FFFFFF"/>
        <w:spacing w:after="0" w:line="240" w:lineRule="auto"/>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Debt in 2005 amounted to 66.5% of GDP. Total external debt was $2.826 trillion.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International Monetary Fund (IMF) reported that in 2002, the most recent year for which it had data, central government revenues were €674.87 billion and expenditures were €727.39 billion. The value of revenues was us$635 million and expenditures us$292 million, based on a market exchange rate for 2002 of us$1= €1.0626 as reported by the IMF. Government outlays by function were as follows: general public services, 15.2%; defense, 5.2%; public order and safety, 1.7%; economic affairs, 9.2%; environmental protection, 0.2%; housing and community amenities, 0.8%; recreation, culture, and religion, 0.7%; and education, 9.8%.</w:t>
      </w:r>
    </w:p>
    <w:p w:rsidR="00472A60" w:rsidRPr="00C40532" w:rsidRDefault="00472A60" w:rsidP="00472A60">
      <w:pPr>
        <w:tabs>
          <w:tab w:val="left" w:pos="895"/>
        </w:tabs>
        <w:spacing w:after="0" w:line="240" w:lineRule="auto"/>
        <w:jc w:val="both"/>
        <w:rPr>
          <w:rFonts w:ascii="Times New Roman" w:hAnsi="Times New Roman" w:cs="Times New Roman"/>
          <w:sz w:val="24"/>
          <w:szCs w:val="24"/>
          <w:lang w:val="en-US"/>
        </w:rPr>
      </w:pPr>
    </w:p>
    <w:p w:rsidR="00472A60" w:rsidRPr="00C40532" w:rsidRDefault="00472A60" w:rsidP="00472A60">
      <w:pPr>
        <w:tabs>
          <w:tab w:val="left" w:pos="1573"/>
        </w:tabs>
        <w:spacing w:after="0" w:line="240" w:lineRule="auto"/>
        <w:rPr>
          <w:rFonts w:ascii="Times New Roman" w:hAnsi="Times New Roman" w:cs="Times New Roman"/>
          <w:sz w:val="24"/>
          <w:szCs w:val="24"/>
          <w:lang w:val="en-US"/>
        </w:rPr>
      </w:pPr>
      <w:r w:rsidRPr="00C40532">
        <w:rPr>
          <w:rFonts w:ascii="Times New Roman" w:hAnsi="Times New Roman" w:cs="Times New Roman"/>
          <w:sz w:val="24"/>
          <w:szCs w:val="24"/>
          <w:lang w:val="en-US"/>
        </w:rPr>
        <w:tab/>
        <w:t>Control questions:</w:t>
      </w:r>
    </w:p>
    <w:p w:rsidR="00472A60" w:rsidRPr="00C40532" w:rsidRDefault="00472A60" w:rsidP="00472A60">
      <w:pPr>
        <w:pStyle w:val="a4"/>
        <w:numPr>
          <w:ilvl w:val="0"/>
          <w:numId w:val="21"/>
        </w:numPr>
        <w:shd w:val="clear" w:color="auto" w:fill="FFFFFF"/>
        <w:tabs>
          <w:tab w:val="left" w:pos="180"/>
        </w:tabs>
        <w:spacing w:after="0" w:line="240" w:lineRule="auto"/>
        <w:ind w:left="0" w:firstLine="0"/>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E</w:t>
      </w:r>
      <w:r w:rsidRPr="00C40532">
        <w:rPr>
          <w:rStyle w:val="hps"/>
          <w:rFonts w:ascii="Times New Roman" w:hAnsi="Times New Roman" w:cs="Times New Roman"/>
          <w:sz w:val="24"/>
          <w:szCs w:val="24"/>
          <w:lang w:val="en-US"/>
        </w:rPr>
        <w:t>conomic development of France</w:t>
      </w:r>
    </w:p>
    <w:p w:rsidR="00472A60" w:rsidRPr="00C40532" w:rsidRDefault="00472A60" w:rsidP="00472A60">
      <w:pPr>
        <w:shd w:val="clear" w:color="auto" w:fill="FFFFFF"/>
        <w:tabs>
          <w:tab w:val="left" w:pos="180"/>
        </w:tabs>
        <w:spacing w:after="0" w:line="240" w:lineRule="auto"/>
        <w:jc w:val="both"/>
        <w:rPr>
          <w:rFonts w:ascii="Times New Roman" w:hAnsi="Times New Roman" w:cs="Times New Roman"/>
          <w:spacing w:val="-9"/>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Income and expenses of the state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budget</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France</w:t>
      </w:r>
      <w:r w:rsidRPr="00C40532">
        <w:rPr>
          <w:rFonts w:ascii="Times New Roman" w:hAnsi="Times New Roman" w:cs="Times New Roman"/>
          <w:sz w:val="24"/>
          <w:szCs w:val="24"/>
          <w:lang w:val="en-US"/>
        </w:rPr>
        <w:t xml:space="preserve">. </w:t>
      </w:r>
    </w:p>
    <w:p w:rsidR="00472A60" w:rsidRPr="00C40532" w:rsidRDefault="00472A60" w:rsidP="00472A60">
      <w:pPr>
        <w:shd w:val="clear" w:color="auto" w:fill="FFFFFF"/>
        <w:spacing w:after="0" w:line="240" w:lineRule="auto"/>
        <w:ind w:right="22"/>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3.</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Development of social infrastructure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France</w:t>
      </w:r>
    </w:p>
    <w:p w:rsidR="00472A60" w:rsidRPr="00C40532" w:rsidRDefault="00472A60" w:rsidP="00472A60">
      <w:pPr>
        <w:shd w:val="clear" w:color="auto" w:fill="FFFFFF"/>
        <w:spacing w:after="0" w:line="240" w:lineRule="auto"/>
        <w:ind w:right="22"/>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4.</w:t>
      </w:r>
      <w:r w:rsidRPr="00C40532">
        <w:rPr>
          <w:rFonts w:ascii="Times New Roman" w:hAnsi="Times New Roman" w:cs="Times New Roman"/>
          <w:sz w:val="24"/>
          <w:szCs w:val="24"/>
          <w:lang w:val="en-US"/>
        </w:rPr>
        <w:t xml:space="preserve"> T</w:t>
      </w:r>
      <w:r w:rsidRPr="00C40532">
        <w:rPr>
          <w:rStyle w:val="hps"/>
          <w:rFonts w:ascii="Times New Roman" w:hAnsi="Times New Roman" w:cs="Times New Roman"/>
          <w:sz w:val="24"/>
          <w:szCs w:val="24"/>
          <w:lang w:val="en-US"/>
        </w:rPr>
        <w:t>he main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types of taxes in France</w:t>
      </w:r>
      <w:r w:rsidRPr="00C40532">
        <w:rPr>
          <w:rFonts w:ascii="Times New Roman" w:hAnsi="Times New Roman" w:cs="Times New Roman"/>
          <w:sz w:val="24"/>
          <w:szCs w:val="24"/>
          <w:lang w:val="en-US"/>
        </w:rPr>
        <w:t>.</w:t>
      </w:r>
    </w:p>
    <w:p w:rsidR="00472A60" w:rsidRPr="00C40532" w:rsidRDefault="00472A60" w:rsidP="00472A60">
      <w:pPr>
        <w:shd w:val="clear" w:color="auto" w:fill="FFFFFF"/>
        <w:spacing w:after="0" w:line="240" w:lineRule="auto"/>
        <w:ind w:right="22"/>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Problems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functioning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French</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financial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at the present stage</w:t>
      </w:r>
    </w:p>
    <w:p w:rsidR="00472A60" w:rsidRPr="00DF3344" w:rsidRDefault="00472A60" w:rsidP="00472A60">
      <w:pPr>
        <w:tabs>
          <w:tab w:val="left" w:pos="1573"/>
        </w:tabs>
        <w:spacing w:after="0" w:line="240" w:lineRule="auto"/>
        <w:rPr>
          <w:rFonts w:ascii="Times New Roman" w:hAnsi="Times New Roman" w:cs="Times New Roman"/>
          <w:sz w:val="24"/>
          <w:szCs w:val="24"/>
          <w:lang w:val="en-US"/>
        </w:rPr>
      </w:pPr>
    </w:p>
    <w:p w:rsidR="000A0C98" w:rsidRPr="00DF3344" w:rsidRDefault="000A0C98" w:rsidP="00472A60">
      <w:pPr>
        <w:tabs>
          <w:tab w:val="left" w:pos="1573"/>
        </w:tabs>
        <w:spacing w:after="0" w:line="240" w:lineRule="auto"/>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0A0C98" w:rsidRDefault="00472A60" w:rsidP="00472A60">
      <w:pPr>
        <w:shd w:val="clear" w:color="auto" w:fill="FFFFFF"/>
        <w:tabs>
          <w:tab w:val="left" w:pos="180"/>
        </w:tabs>
        <w:spacing w:after="0" w:line="240" w:lineRule="auto"/>
        <w:jc w:val="center"/>
        <w:rPr>
          <w:rStyle w:val="hps"/>
          <w:rFonts w:ascii="Times New Roman" w:hAnsi="Times New Roman" w:cs="Times New Roman"/>
          <w:b/>
          <w:sz w:val="24"/>
          <w:szCs w:val="24"/>
          <w:lang w:val="en-US"/>
        </w:rPr>
      </w:pPr>
      <w:proofErr w:type="gramStart"/>
      <w:r w:rsidRPr="000A0C98">
        <w:rPr>
          <w:rStyle w:val="hps"/>
          <w:rFonts w:ascii="Times New Roman" w:hAnsi="Times New Roman" w:cs="Times New Roman"/>
          <w:b/>
          <w:sz w:val="24"/>
          <w:szCs w:val="24"/>
          <w:lang w:val="en-US"/>
        </w:rPr>
        <w:lastRenderedPageBreak/>
        <w:t>Topic 6.</w:t>
      </w:r>
      <w:proofErr w:type="gramEnd"/>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Fundamentals of</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the operation</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public finances</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France</w:t>
      </w:r>
    </w:p>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1.</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economic situation in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France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today.</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units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p>
    <w:p w:rsidR="00472A60" w:rsidRPr="00C40532" w:rsidRDefault="00472A60" w:rsidP="00472A60">
      <w:pPr>
        <w:shd w:val="clear" w:color="auto" w:fill="FFFFFF"/>
        <w:tabs>
          <w:tab w:val="left" w:pos="180"/>
        </w:tabs>
        <w:spacing w:after="0" w:line="240" w:lineRule="auto"/>
        <w:jc w:val="both"/>
        <w:rPr>
          <w:rFonts w:ascii="Times New Roman" w:hAnsi="Times New Roman" w:cs="Times New Roman"/>
          <w:b/>
          <w:spacing w:val="-9"/>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State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France</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The composition and structure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income and expenses</w:t>
      </w:r>
      <w:r w:rsidRPr="00C40532">
        <w:rPr>
          <w:rFonts w:ascii="Times New Roman" w:hAnsi="Times New Roman" w:cs="Times New Roman"/>
          <w:b/>
          <w:sz w:val="24"/>
          <w:szCs w:val="24"/>
          <w:lang w:val="en-US"/>
        </w:rPr>
        <w:t>.</w:t>
      </w:r>
      <w:proofErr w:type="gramEnd"/>
      <w:r w:rsidRPr="00C40532">
        <w:rPr>
          <w:rFonts w:ascii="Times New Roman" w:hAnsi="Times New Roman" w:cs="Times New Roman"/>
          <w:b/>
          <w:sz w:val="24"/>
          <w:szCs w:val="24"/>
          <w:lang w:val="en-US"/>
        </w:rPr>
        <w:br/>
      </w:r>
      <w:r w:rsidRPr="00C40532">
        <w:rPr>
          <w:rStyle w:val="hps"/>
          <w:rFonts w:ascii="Times New Roman" w:hAnsi="Times New Roman" w:cs="Times New Roman"/>
          <w:sz w:val="24"/>
          <w:szCs w:val="24"/>
          <w:lang w:val="en-US"/>
        </w:rPr>
        <w:t>3. State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 funds.</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Attached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budgets.</w:t>
      </w:r>
      <w:proofErr w:type="gramEnd"/>
    </w:p>
    <w:p w:rsidR="00472A60" w:rsidRPr="00C40532" w:rsidRDefault="00472A60" w:rsidP="00472A60">
      <w:pPr>
        <w:shd w:val="clear" w:color="auto" w:fill="FFFFFF"/>
        <w:spacing w:after="0" w:line="240" w:lineRule="auto"/>
        <w:ind w:right="22"/>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4.</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revenues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expenditures of local budgets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their importance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financing</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social infrastructure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area</w:t>
      </w:r>
    </w:p>
    <w:p w:rsidR="00472A60" w:rsidRPr="00C40532" w:rsidRDefault="00472A60" w:rsidP="00472A60">
      <w:pPr>
        <w:shd w:val="clear" w:color="auto" w:fill="FFFFFF"/>
        <w:spacing w:after="0" w:line="240" w:lineRule="auto"/>
        <w:ind w:right="22"/>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Specifics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tax system</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Characteristics of the main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types of taxes</w:t>
      </w:r>
      <w:r w:rsidRPr="00C40532">
        <w:rPr>
          <w:rFonts w:ascii="Times New Roman" w:hAnsi="Times New Roman" w:cs="Times New Roman"/>
          <w:b/>
          <w:sz w:val="24"/>
          <w:szCs w:val="24"/>
          <w:lang w:val="en-US"/>
        </w:rPr>
        <w:t>.</w:t>
      </w:r>
      <w:proofErr w:type="gramEnd"/>
    </w:p>
    <w:p w:rsidR="00472A60" w:rsidRPr="00C40532" w:rsidRDefault="00472A60" w:rsidP="00472A60">
      <w:pPr>
        <w:shd w:val="clear" w:color="auto" w:fill="FFFFFF"/>
        <w:spacing w:after="0" w:line="240" w:lineRule="auto"/>
        <w:ind w:right="22"/>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6.</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Problems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functioning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French</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public finances and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problems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at the present stage</w:t>
      </w:r>
    </w:p>
    <w:p w:rsidR="00472A60" w:rsidRPr="00C40532" w:rsidRDefault="00472A60" w:rsidP="00472A60">
      <w:pPr>
        <w:shd w:val="clear" w:color="auto" w:fill="FFFFFF"/>
        <w:tabs>
          <w:tab w:val="left" w:pos="180"/>
        </w:tabs>
        <w:spacing w:after="0" w:line="240" w:lineRule="auto"/>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426"/>
        </w:tabs>
        <w:spacing w:after="0" w:line="240" w:lineRule="auto"/>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ab/>
        <w:t>1.</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economic situation in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France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today.</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units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p>
    <w:p w:rsidR="00472A60" w:rsidRPr="00C40532" w:rsidRDefault="00472A60" w:rsidP="00472A60">
      <w:pPr>
        <w:tabs>
          <w:tab w:val="left" w:pos="567"/>
        </w:tabs>
        <w:spacing w:after="0" w:line="240" w:lineRule="auto"/>
        <w:jc w:val="both"/>
        <w:rPr>
          <w:rFonts w:ascii="Times New Roman" w:hAnsi="Times New Roman" w:cs="Times New Roman"/>
          <w:sz w:val="24"/>
          <w:szCs w:val="24"/>
          <w:shd w:val="clear" w:color="auto" w:fill="FFFFFF"/>
          <w:lang w:val="en-US"/>
        </w:rPr>
      </w:pPr>
      <w:r w:rsidRPr="00C40532">
        <w:rPr>
          <w:rFonts w:ascii="Times New Roman" w:hAnsi="Times New Roman" w:cs="Times New Roman"/>
          <w:sz w:val="24"/>
          <w:szCs w:val="24"/>
          <w:lang w:val="en-US"/>
        </w:rPr>
        <w:tab/>
      </w:r>
      <w:r w:rsidRPr="00C40532">
        <w:rPr>
          <w:rFonts w:ascii="Times New Roman" w:hAnsi="Times New Roman" w:cs="Times New Roman"/>
          <w:sz w:val="24"/>
          <w:szCs w:val="24"/>
          <w:shd w:val="clear" w:color="auto" w:fill="FFFFFF"/>
          <w:lang w:val="en-US"/>
        </w:rPr>
        <w:t xml:space="preserve">France is one of the most richly endowed countries of Europe. The favorable climate, extensive areas of rich soil, and long-established tradition of skilled agriculture have created ideal conditions for a thriving farm economy. Agriculture and the agro-food industries account for a larger share of economic activity than in many other west European nations. Large deposits of iron ore, a wellintegrated network of power plants, </w:t>
      </w:r>
      <w:proofErr w:type="gramStart"/>
      <w:r w:rsidRPr="00C40532">
        <w:rPr>
          <w:rFonts w:ascii="Times New Roman" w:hAnsi="Times New Roman" w:cs="Times New Roman"/>
          <w:sz w:val="24"/>
          <w:szCs w:val="24"/>
          <w:shd w:val="clear" w:color="auto" w:fill="FFFFFF"/>
          <w:lang w:val="en-US"/>
        </w:rPr>
        <w:t>important</w:t>
      </w:r>
      <w:proofErr w:type="gramEnd"/>
      <w:r w:rsidRPr="00C40532">
        <w:rPr>
          <w:rFonts w:ascii="Times New Roman" w:hAnsi="Times New Roman" w:cs="Times New Roman"/>
          <w:sz w:val="24"/>
          <w:szCs w:val="24"/>
          <w:shd w:val="clear" w:color="auto" w:fill="FFFFFF"/>
          <w:lang w:val="en-US"/>
        </w:rPr>
        <w:t xml:space="preserve"> domestic reserves of natural gas, good transport, and high standards of industrial workmanship have made the French industrial complex one of the most modern in Europe.</w:t>
      </w:r>
    </w:p>
    <w:p w:rsidR="00472A60" w:rsidRPr="00C40532" w:rsidRDefault="00472A60" w:rsidP="00472A60">
      <w:pPr>
        <w:tabs>
          <w:tab w:val="left" w:pos="567"/>
        </w:tabs>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shd w:val="clear" w:color="auto" w:fill="FFFFFF"/>
          <w:lang w:val="en-US"/>
        </w:rPr>
        <w:tab/>
      </w:r>
      <w:r w:rsidRPr="00C40532">
        <w:rPr>
          <w:rFonts w:ascii="Times New Roman" w:hAnsi="Times New Roman" w:cs="Times New Roman"/>
          <w:sz w:val="24"/>
          <w:szCs w:val="24"/>
          <w:lang w:val="en-US"/>
        </w:rPr>
        <w:t>After World War II, France's economy was stronger than it had been in the period between the two world wars. But on the debit side were the extremely high costs of France's colonial campaigns in Indochina and North Africa; the periodic lack of confidence of French investors in the nation's economy, resulting in the largescale flight of funds; and the successive devaluations of the franc.</w:t>
      </w:r>
    </w:p>
    <w:p w:rsidR="00472A60" w:rsidRPr="00C40532" w:rsidRDefault="00472A60" w:rsidP="00472A60">
      <w:pPr>
        <w:tabs>
          <w:tab w:val="left" w:pos="567"/>
        </w:tabs>
        <w:spacing w:after="0" w:line="240" w:lineRule="auto"/>
        <w:jc w:val="both"/>
        <w:rPr>
          <w:rFonts w:ascii="Times New Roman" w:hAnsi="Times New Roman" w:cs="Times New Roman"/>
          <w:sz w:val="24"/>
          <w:szCs w:val="24"/>
          <w:shd w:val="clear" w:color="auto" w:fill="FFFFFF"/>
          <w:lang w:val="en-US"/>
        </w:rPr>
      </w:pPr>
      <w:r w:rsidRPr="00C40532">
        <w:rPr>
          <w:rFonts w:ascii="Times New Roman" w:hAnsi="Times New Roman" w:cs="Times New Roman"/>
          <w:sz w:val="24"/>
          <w:szCs w:val="24"/>
          <w:lang w:val="en-US"/>
        </w:rPr>
        <w:tab/>
        <w:t>Through most of the 1960s and early 1970s, the French economy expanded steadily, with</w:t>
      </w:r>
      <w:r w:rsidRPr="00C40532">
        <w:rPr>
          <w:rStyle w:val="apple-converted-space"/>
          <w:rFonts w:ascii="Times New Roman" w:hAnsi="Times New Roman" w:cs="Times New Roman"/>
          <w:sz w:val="24"/>
          <w:szCs w:val="24"/>
          <w:lang w:val="en-US"/>
        </w:rPr>
        <w:t> </w:t>
      </w:r>
      <w:r w:rsidR="00AA3725">
        <w:fldChar w:fldCharType="begin"/>
      </w:r>
      <w:r w:rsidR="00AA3725" w:rsidRPr="003E0431">
        <w:rPr>
          <w:lang w:val="en-US"/>
        </w:rPr>
        <w:instrText>HYPERLINK "http://www.encyclopedia.com/social-sciences-and-law/economics-business-and-labor/economics-terms-and-concepts/gross-domestic"</w:instrText>
      </w:r>
      <w:r w:rsidR="00AA3725">
        <w:fldChar w:fldCharType="separate"/>
      </w:r>
      <w:r w:rsidRPr="00C40532">
        <w:rPr>
          <w:rStyle w:val="a5"/>
          <w:rFonts w:ascii="Times New Roman" w:hAnsi="Times New Roman" w:cs="Times New Roman"/>
          <w:sz w:val="24"/>
          <w:szCs w:val="24"/>
          <w:lang w:val="en-US"/>
        </w:rPr>
        <w:t>GDP</w:t>
      </w:r>
      <w:r w:rsidR="00AA3725">
        <w:fldChar w:fldCharType="end"/>
      </w:r>
      <w:r w:rsidRPr="00C40532">
        <w:rPr>
          <w:rStyle w:val="apple-converted-space"/>
          <w:rFonts w:ascii="Times New Roman" w:hAnsi="Times New Roman" w:cs="Times New Roman"/>
          <w:sz w:val="24"/>
          <w:szCs w:val="24"/>
          <w:lang w:val="en-US"/>
        </w:rPr>
        <w:t> </w:t>
      </w:r>
      <w:r w:rsidRPr="00C40532">
        <w:rPr>
          <w:rFonts w:ascii="Times New Roman" w:hAnsi="Times New Roman" w:cs="Times New Roman"/>
          <w:sz w:val="24"/>
          <w:szCs w:val="24"/>
          <w:lang w:val="en-US"/>
        </w:rPr>
        <w:t>more than doubling between 1959 and 1967. However, the international oil crisis of 1974 led to a sharp rise in import costs; the resulting inflation eroded real growth to about 3% annually between 1977 and 1979. Further oil price increases in 1979–80 marked the beginning of a prolonged recession, with high inflation, high unemployment, balance-of-payments deficits, declining private investment, and shortages in foreign exchange reserves. However, GDP grew by an annual average of 2.5% between 1984 and 1991. During the early 1990s, GDP expanded by an average 2%, a modest rate. By the late 1990s, however, the economy began to record higher growth rates. In 1998 the French economy grew by 3.3% in real terms. Unemployment, however, remained high at 11.5%. To combat this, the Socialist-led coalition of Lionel Jospin enacted legislation cutting the work week to 35 hours in 2000. This measure, along with other incentives, resulted in unemployment falling under 10% as over 400,000 new jobs were created in the first half of 2000. In 2002, GDP growth was low (1%), due to the global economic slowdown and a decline in investment. However, France's exports increased at a greater rate than imports, fueling the economy. France in 2002 fell from being the world's fourth-largest industrialized economy to fifth, being replaced by the United Kingdom. In 2004, France had a $1.737 trillion economy, in purchasing power parity terms. In 2004, real GDP growth was 1.9%. In 2005, real GDP growth was expected to slow to 1.4%, before picking up to 1.6% in 2006 and 2.2% in 2007.</w:t>
      </w:r>
    </w:p>
    <w:p w:rsidR="00472A60" w:rsidRPr="00C40532" w:rsidRDefault="00472A60" w:rsidP="00472A60">
      <w:pPr>
        <w:pStyle w:val="a6"/>
        <w:shd w:val="clear" w:color="auto" w:fill="FFFFFF"/>
        <w:spacing w:before="0" w:beforeAutospacing="0" w:after="0" w:afterAutospacing="0"/>
        <w:ind w:firstLine="708"/>
        <w:jc w:val="both"/>
        <w:rPr>
          <w:lang w:val="en-US"/>
        </w:rPr>
      </w:pPr>
      <w:r w:rsidRPr="00C40532">
        <w:rPr>
          <w:lang w:val="en-US"/>
        </w:rPr>
        <w:t xml:space="preserve">France and the United States are the world's top two exporting countries in defense products, agricultural goods, and services. Taxes remain the highest in the G-8 industrialized countries, and the tax structure is seen as a hindrance to business activity. The fastest-growing sectors of the economy have been telecommunications, aerospace, consulting services, meat and milk products, public works, insurance and financial services, and recreation, culture, and sports. Although the </w:t>
      </w:r>
      <w:r w:rsidRPr="00C40532">
        <w:rPr>
          <w:lang w:val="en-US"/>
        </w:rPr>
        <w:lastRenderedPageBreak/>
        <w:t>government has privatized many large companies, banks, and insurers, it still controls large sectors of the economy, including energy, transportation, and the defense industry.</w:t>
      </w:r>
    </w:p>
    <w:p w:rsidR="00472A60" w:rsidRPr="00C40532" w:rsidRDefault="00472A60" w:rsidP="00472A60">
      <w:pPr>
        <w:tabs>
          <w:tab w:val="left" w:pos="895"/>
        </w:tabs>
        <w:spacing w:after="0" w:line="240" w:lineRule="auto"/>
        <w:jc w:val="both"/>
        <w:rPr>
          <w:rFonts w:ascii="Times New Roman" w:hAnsi="Times New Roman" w:cs="Times New Roman"/>
          <w:sz w:val="24"/>
          <w:szCs w:val="24"/>
          <w:shd w:val="clear" w:color="auto" w:fill="FFFFFF"/>
          <w:lang w:val="en-US"/>
        </w:rPr>
      </w:pPr>
      <w:r w:rsidRPr="00C40532">
        <w:rPr>
          <w:rFonts w:ascii="Times New Roman" w:hAnsi="Times New Roman" w:cs="Times New Roman"/>
          <w:sz w:val="24"/>
          <w:szCs w:val="24"/>
          <w:shd w:val="clear" w:color="auto" w:fill="FFFFFF"/>
          <w:lang w:val="en-US"/>
        </w:rPr>
        <w:tab/>
        <w:t>The French social model, characterized by heavy state involvement in the economy, a tax on wealth, and generous benefits for workers, has proved to be a strong disincentive to growth and job creation. Unemployment, at 9.8% in September 2005, is double that in the United Kingdom. The pension system and rising healthcare costs strain public finances. Attempts to liberalize the economy have met strong resistance from labor unions and the left. Pension reforms proposed by the government of Jean-Pierre Raffarin in early 2003 were met by huge protests and strikes in France. Discontent with the economy played a large role in France's rejection of the EU constitution in May 2005. Dominique de Villepin, who became prime minister after the EU vote, promised to focus on unemployment and was in the process of engineering the sale of parts of Gaz de France and Electricité</w:t>
      </w:r>
      <w:r w:rsidRPr="00C40532">
        <w:rPr>
          <w:rStyle w:val="apple-converted-space"/>
          <w:rFonts w:ascii="Times New Roman" w:hAnsi="Times New Roman" w:cs="Times New Roman"/>
          <w:sz w:val="24"/>
          <w:szCs w:val="24"/>
          <w:shd w:val="clear" w:color="auto" w:fill="FFFFFF"/>
          <w:lang w:val="en-US"/>
        </w:rPr>
        <w:t> </w:t>
      </w:r>
      <w:r w:rsidRPr="00C40532">
        <w:rPr>
          <w:rFonts w:ascii="Times New Roman" w:hAnsi="Times New Roman" w:cs="Times New Roman"/>
          <w:sz w:val="24"/>
          <w:szCs w:val="24"/>
          <w:shd w:val="clear" w:color="auto" w:fill="FFFFFF"/>
          <w:lang w:val="en-US"/>
        </w:rPr>
        <w:t>de France (the world's largest generator of nuclear power) to help compensate for state deficits. Violent unrest in hundreds of towns erupted in the fall of 2005, triggered by frustration over high unemployment among urban youth. Politicians were faced with the challenge to craft social and economic policies to address the underlying causes of the rioting, which was centered in communities with large African and Arab populations, where youth unemployment reportedly approached 40% (and stood at 25% in the country overall).</w:t>
      </w:r>
    </w:p>
    <w:p w:rsidR="00472A60" w:rsidRPr="00C40532" w:rsidRDefault="00472A60" w:rsidP="00472A60">
      <w:pPr>
        <w:tabs>
          <w:tab w:val="left" w:pos="567"/>
        </w:tabs>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b/>
        <w:t>The French banking regulations prompted by the crisis of the 1930s were not radical. The original legislation that set up the structure of the banking network in 1885 with the establishment of savings banks was further strengthened in 1941 with the adoption of the first banking law. In 1945, the banks were separated into three categories (i.e. deposit banks, investment banks and medium and long-term lending banks) with each category being specialized into specific activities. In the post-war period, the organization of the banking system was driven by the need to finance reconstruction. Alongside the nationalization process of banks, the French authorities multiplied the incentives for non-financial agents (households in particular) to increase their savings and tried to steer these, through the specialization and supervision of financial intermediaries, towards certain areas — e.g. housing and the productive investment of resident companies. In addition, from the 1970s, regulated interest rates and monetary controls were overseen by government supervisors. The extent of financial regulation by the State until the 1980s in France is interesting with respect to early-bird legislation about financial liberalization. The free movement of capital was included in Law n°66-1008 (known as Debré law) of 28 December 1966. It stated that “financial relations with foreign countries were free in due respect of international commitments signed by France”. Nevertheless, article 3 authorized “temporary exceptions” to free movements of capital. “Temporary” measures, like exchange controls, continued until 1989! To summarize, at the very beginning of the 1980s, the French financial system was relatively closed, highly regulated and compartmentalized. The State played a significant role in the organization and functioning of the system. In the early 1980s, two phenomena posed a challenge to the French financial and banking system. First, the need for international openness pushed the French authorities to make fundamental changes to the structure of the country’s financial system. In the 1970s, global interest rates rose more than the French rates, meaning that exchange controls became increasingly necessary to maintain low interest rates in France. This intensified the contradiction between the tighter controls needed to maintain the financial system and the openness required by European and global economic integration. Second, the French banking system was facing a serious crisis in this period. This crisis was due to international developments (with the US disinflation policy leading to higher real interest rates, along with the international debt crisis of the developing countries and the first Mexican crisis) and to the inconsistent structure and poor profitability of the banking system. The model of universal banking (recommended by the Mayoux report in 1979) had not yet been fully incorporated into the French banking practice, and it was not until the Banking Act of 1984 and deregulation allowed the French banking and financial sectors to undergo a major transformation.</w:t>
      </w:r>
    </w:p>
    <w:p w:rsidR="00472A60" w:rsidRPr="00C40532" w:rsidRDefault="00472A60" w:rsidP="00472A60">
      <w:pPr>
        <w:tabs>
          <w:tab w:val="left" w:pos="567"/>
        </w:tabs>
        <w:spacing w:after="0" w:line="240" w:lineRule="auto"/>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lastRenderedPageBreak/>
        <w:tab/>
        <w:t xml:space="preserve">The 1980s: a period of banking reform and of profound changes in the French financial system </w:t>
      </w:r>
    </w:p>
    <w:p w:rsidR="00472A60" w:rsidRPr="00C40532" w:rsidRDefault="00472A60" w:rsidP="00472A60">
      <w:pPr>
        <w:tabs>
          <w:tab w:val="left" w:pos="567"/>
        </w:tabs>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b/>
        <w:t xml:space="preserve">The French financial system went through a profound transformation in the 1980s, following a wave of deregulation that, having originated in the United States in the mid-1970s, modified both its structure and its operating conditions. Two types of deregulation can be distinguished: the organization of the system (“structural deregulation”) and the way they operated (“conduct deregulation”). 2.2.1 Legal and regulatory changes introduced by the left-wing government The nationalizations of 1982 represented the first step in the State’s effort to radically overhaul the French banking system in order to deal with financial globalization. These nationalizations as part of a more sweeping reform by the Socialist government of the financial and banking </w:t>
      </w:r>
      <w:proofErr w:type="gramStart"/>
      <w:r w:rsidRPr="00C40532">
        <w:rPr>
          <w:rFonts w:ascii="Times New Roman" w:hAnsi="Times New Roman" w:cs="Times New Roman"/>
          <w:sz w:val="24"/>
          <w:szCs w:val="24"/>
          <w:lang w:val="en-US"/>
        </w:rPr>
        <w:t>systems,</w:t>
      </w:r>
      <w:proofErr w:type="gramEnd"/>
      <w:r w:rsidRPr="00C40532">
        <w:rPr>
          <w:rFonts w:ascii="Times New Roman" w:hAnsi="Times New Roman" w:cs="Times New Roman"/>
          <w:sz w:val="24"/>
          <w:szCs w:val="24"/>
          <w:lang w:val="en-US"/>
        </w:rPr>
        <w:t xml:space="preserve"> were intended (i) to finance priority investments, (ii) to improve the control of credit and (iii) to reduce the cost of bank loans. The French State thus nationalized 36 deposit banks and two investment banks (or compagnies financières). This gave the State control of virtually the entire banking sector, meaning that it could now steer investment and reform the financial system.</w:t>
      </w:r>
    </w:p>
    <w:p w:rsidR="00472A60" w:rsidRPr="00C40532" w:rsidRDefault="00472A60" w:rsidP="00472A60">
      <w:pPr>
        <w:tabs>
          <w:tab w:val="left" w:pos="567"/>
        </w:tabs>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b/>
        <w:t xml:space="preserve">In seemingly contrast with the process of </w:t>
      </w:r>
      <w:proofErr w:type="gramStart"/>
      <w:r w:rsidRPr="00C40532">
        <w:rPr>
          <w:rFonts w:ascii="Times New Roman" w:hAnsi="Times New Roman" w:cs="Times New Roman"/>
          <w:sz w:val="24"/>
          <w:szCs w:val="24"/>
          <w:lang w:val="en-US"/>
        </w:rPr>
        <w:t>nationalization,</w:t>
      </w:r>
      <w:proofErr w:type="gramEnd"/>
      <w:r w:rsidRPr="00C40532">
        <w:rPr>
          <w:rFonts w:ascii="Times New Roman" w:hAnsi="Times New Roman" w:cs="Times New Roman"/>
          <w:sz w:val="24"/>
          <w:szCs w:val="24"/>
          <w:lang w:val="en-US"/>
        </w:rPr>
        <w:t xml:space="preserve"> the cornerstone of the French financial (de)regulation since 1980 has undoubtedly been the Banking Act of 1984, relative to the activity and control of the credit organisations, which has to be linked to the liberalisation context of the international financial system. The reforms introduced by Finance Minister Pierre Bérégovoy starting in 1984 aimed at establishing a unified monetary and financial market where interest rates were set freely (subject to the intervention of the Banque de France). This Banking Act, proposed by the government of Pierre Mauroy (</w:t>
      </w:r>
      <w:proofErr w:type="gramStart"/>
      <w:r w:rsidRPr="00C40532">
        <w:rPr>
          <w:rFonts w:ascii="Times New Roman" w:hAnsi="Times New Roman" w:cs="Times New Roman"/>
          <w:sz w:val="24"/>
          <w:szCs w:val="24"/>
          <w:lang w:val="en-US"/>
        </w:rPr>
        <w:t>PS )</w:t>
      </w:r>
      <w:proofErr w:type="gramEnd"/>
      <w:r w:rsidRPr="00C40532">
        <w:rPr>
          <w:rFonts w:ascii="Times New Roman" w:hAnsi="Times New Roman" w:cs="Times New Roman"/>
          <w:sz w:val="24"/>
          <w:szCs w:val="24"/>
          <w:lang w:val="en-US"/>
        </w:rPr>
        <w:t xml:space="preserve">, aimed at strengthening competition and improving efficiency of the entire banking system. It put a halt to the bank specialisation by creating the ‘universal bank’: every organization that received an agreement could carry out every type of operations peculiar to credit organisations and could choose its customers without restrictions. These “credit organisations” encompassed the AFB banks such as BNP-Paribas or Société Générale, the “mutualist” or cooperative banks (Crédit Agricole), the savings banks, the local credit banks, the financial societies (CETELEM, COFINOGA) and the specialized financial institutions. The Banking Act also created three collegial authorities, whose functioning is tightly linked to the functioning of Bank of France, to control for the banking sector’s activities: the Banking Regulation Committee (CRB), the Credit Organisations Committee (CEC) and the Banking Commission (CB). The CB had to control whether the credit organisations respected the several enforceable legislative and regulatory clauses and to punish them if necessary. Last, the Banking Act introduced a liquidity and solvability constraint for the credit organisations. The latter had to abide by accounting norms and by a balanced financial structure in order to guarantee their liquidity and solvability, under the supervision of the CRB. This liberalisation had some quick effects on the securitisation movement through which France lived from 1986 to 1990. This market-oriented policy has been pursued through several measures like the lifting of the credit framework in 1987, the lifting of control on assets movements or the dismantling of the exchange control in 1989. Additional important changes in the financial and banking landscape are as follows. In 1983, the creation of the monthly settlement market unified the stock exchange trading while the creation of a second market (second marché) gave smaller companies, mainly family firms, access to the stock market. In 1985, certificates of deposits were created, i.e. debt securities primarily intended for professional investors as very short-term investments (between 1 day and 1 year), and the money market was opened to non-banks. The MATIF futures market was created to allow trading in futures instruments, and then the MONEP market for (financial) options. To summarize, the Banking Act of 1984 has had a long-lasting influence on the French banking and financial system. Also noticeable is its seniority as regards many European directives. Such was the case in a wide array of legislative reforms that the Banking Act generated (see Blot et al., 2013, for details): liberalisation of capital movements (EU directive in 1988), cross-border competition and definition of permitted activities (EU directive in </w:t>
      </w:r>
      <w:r w:rsidRPr="00C40532">
        <w:rPr>
          <w:rFonts w:ascii="Times New Roman" w:hAnsi="Times New Roman" w:cs="Times New Roman"/>
          <w:sz w:val="24"/>
          <w:szCs w:val="24"/>
          <w:lang w:val="en-US"/>
        </w:rPr>
        <w:lastRenderedPageBreak/>
        <w:t>1989 and 1993), capital requirements (EU directive in 1989), definition of investment services (EU directive in 1993), deposit guarantee (EU directive in 1994), and crisis management schemes (EU directive in 2001).</w:t>
      </w:r>
    </w:p>
    <w:p w:rsidR="00472A60" w:rsidRPr="00C40532" w:rsidRDefault="00472A60" w:rsidP="00472A60">
      <w:pPr>
        <w:tabs>
          <w:tab w:val="left" w:pos="895"/>
        </w:tabs>
        <w:spacing w:after="0" w:line="240" w:lineRule="auto"/>
        <w:jc w:val="both"/>
        <w:rPr>
          <w:rFonts w:ascii="Times New Roman" w:hAnsi="Times New Roman" w:cs="Times New Roman"/>
          <w:sz w:val="24"/>
          <w:szCs w:val="24"/>
          <w:lang w:val="en-US"/>
        </w:rPr>
      </w:pPr>
    </w:p>
    <w:p w:rsidR="00472A60" w:rsidRPr="00C40532" w:rsidRDefault="00472A60" w:rsidP="00472A60">
      <w:pPr>
        <w:pStyle w:val="a6"/>
        <w:spacing w:before="0" w:beforeAutospacing="0" w:after="0" w:afterAutospacing="0"/>
        <w:ind w:firstLine="567"/>
        <w:jc w:val="both"/>
        <w:rPr>
          <w:lang w:val="en-US"/>
        </w:rPr>
      </w:pPr>
      <w:r w:rsidRPr="00C40532">
        <w:rPr>
          <w:rStyle w:val="hps"/>
          <w:lang w:val="en-US"/>
        </w:rPr>
        <w:t>2.</w:t>
      </w:r>
      <w:r w:rsidRPr="00C40532">
        <w:rPr>
          <w:b/>
          <w:lang w:val="en-US"/>
        </w:rPr>
        <w:t xml:space="preserve"> </w:t>
      </w:r>
      <w:r w:rsidRPr="00C40532">
        <w:rPr>
          <w:rStyle w:val="hps"/>
          <w:lang w:val="en-US"/>
        </w:rPr>
        <w:t>State</w:t>
      </w:r>
      <w:r w:rsidRPr="00C40532">
        <w:rPr>
          <w:b/>
          <w:lang w:val="en-US"/>
        </w:rPr>
        <w:t xml:space="preserve"> </w:t>
      </w:r>
      <w:r w:rsidRPr="00C40532">
        <w:rPr>
          <w:rStyle w:val="hps"/>
          <w:lang w:val="en-US"/>
        </w:rPr>
        <w:t>budget</w:t>
      </w:r>
      <w:r w:rsidRPr="00C40532">
        <w:rPr>
          <w:b/>
          <w:lang w:val="en-US"/>
        </w:rPr>
        <w:t xml:space="preserve"> </w:t>
      </w:r>
      <w:r w:rsidRPr="00C40532">
        <w:rPr>
          <w:rStyle w:val="hps"/>
          <w:lang w:val="en-US"/>
        </w:rPr>
        <w:t>in France</w:t>
      </w:r>
      <w:r w:rsidRPr="00C40532">
        <w:rPr>
          <w:b/>
          <w:lang w:val="en-US"/>
        </w:rPr>
        <w:t xml:space="preserve">. </w:t>
      </w:r>
      <w:proofErr w:type="gramStart"/>
      <w:r w:rsidRPr="00C40532">
        <w:rPr>
          <w:rStyle w:val="hps"/>
          <w:lang w:val="en-US"/>
        </w:rPr>
        <w:t>The composition and structure</w:t>
      </w:r>
      <w:r w:rsidRPr="00C40532">
        <w:rPr>
          <w:b/>
          <w:lang w:val="en-US"/>
        </w:rPr>
        <w:t xml:space="preserve"> </w:t>
      </w:r>
      <w:r w:rsidRPr="00C40532">
        <w:rPr>
          <w:rStyle w:val="hps"/>
          <w:lang w:val="en-US"/>
        </w:rPr>
        <w:t>of income and expenses</w:t>
      </w:r>
      <w:r w:rsidRPr="00C40532">
        <w:rPr>
          <w:b/>
          <w:lang w:val="en-US"/>
        </w:rPr>
        <w:t>.</w:t>
      </w:r>
      <w:proofErr w:type="gramEnd"/>
      <w:r w:rsidRPr="00C40532">
        <w:rPr>
          <w:b/>
          <w:lang w:val="en-US"/>
        </w:rPr>
        <w:br/>
      </w:r>
    </w:p>
    <w:p w:rsidR="00472A60" w:rsidRPr="00C40532" w:rsidRDefault="00472A60" w:rsidP="00472A60">
      <w:pPr>
        <w:pStyle w:val="a6"/>
        <w:spacing w:before="0" w:beforeAutospacing="0" w:after="0" w:afterAutospacing="0"/>
        <w:ind w:firstLine="567"/>
        <w:jc w:val="both"/>
        <w:rPr>
          <w:lang w:val="en-US"/>
        </w:rPr>
      </w:pPr>
      <w:r w:rsidRPr="00C40532">
        <w:rPr>
          <w:lang w:val="en-US"/>
        </w:rPr>
        <w:t>The </w:t>
      </w:r>
      <w:r w:rsidRPr="00C40532">
        <w:rPr>
          <w:b/>
          <w:bCs/>
          <w:lang w:val="en-US"/>
        </w:rPr>
        <w:t>budget of France</w:t>
      </w:r>
      <w:r w:rsidRPr="00C40532">
        <w:rPr>
          <w:lang w:val="en-US"/>
        </w:rPr>
        <w:t>, setting revenues and spending levels is set after approval of the national assembly and the senate. The </w:t>
      </w:r>
      <w:r w:rsidR="00AA3725">
        <w:fldChar w:fldCharType="begin"/>
      </w:r>
      <w:r w:rsidR="00AA3725" w:rsidRPr="003E0431">
        <w:rPr>
          <w:lang w:val="en-US"/>
        </w:rPr>
        <w:instrText>HYPERLINK "https://en.wikipedia.org/wiki/Constitution_of_France" \o "Constitution of France"</w:instrText>
      </w:r>
      <w:r w:rsidR="00AA3725">
        <w:fldChar w:fldCharType="separate"/>
      </w:r>
      <w:r w:rsidRPr="00C40532">
        <w:rPr>
          <w:u w:val="single"/>
          <w:lang w:val="en-US"/>
        </w:rPr>
        <w:t>French Constitution</w:t>
      </w:r>
      <w:r w:rsidR="00AA3725">
        <w:fldChar w:fldCharType="end"/>
      </w:r>
      <w:r w:rsidRPr="00C40532">
        <w:rPr>
          <w:lang w:val="en-US"/>
        </w:rPr>
        <w:t> provides for a maximum of 70 days between the budget being proposed to parliament and it being approved. Article 40 of the Constitution stops the </w:t>
      </w:r>
      <w:r w:rsidR="00AA3725">
        <w:fldChar w:fldCharType="begin"/>
      </w:r>
      <w:r w:rsidR="00AA3725" w:rsidRPr="003E0431">
        <w:rPr>
          <w:lang w:val="en-US"/>
        </w:rPr>
        <w:instrText>HYPERLINK "https://en.wikipedia.org/wiki/National_Assembly_(France)" \o "National Assembly (France)"</w:instrText>
      </w:r>
      <w:r w:rsidR="00AA3725">
        <w:fldChar w:fldCharType="separate"/>
      </w:r>
      <w:r w:rsidRPr="00C40532">
        <w:rPr>
          <w:u w:val="single"/>
          <w:lang w:val="en-US"/>
        </w:rPr>
        <w:t>National Assembly</w:t>
      </w:r>
      <w:r w:rsidR="00AA3725">
        <w:fldChar w:fldCharType="end"/>
      </w:r>
      <w:r w:rsidRPr="00C40532">
        <w:rPr>
          <w:lang w:val="en-US"/>
        </w:rPr>
        <w:t> and </w:t>
      </w:r>
      <w:r w:rsidR="00AA3725">
        <w:fldChar w:fldCharType="begin"/>
      </w:r>
      <w:r w:rsidR="00AA3725" w:rsidRPr="003E0431">
        <w:rPr>
          <w:lang w:val="en-US"/>
        </w:rPr>
        <w:instrText>HYPERLINK "https://en.wikipedia.org/wiki/Senate_(France)" \o "Senate (France)"</w:instrText>
      </w:r>
      <w:r w:rsidR="00AA3725">
        <w:fldChar w:fldCharType="separate"/>
      </w:r>
      <w:r w:rsidRPr="00C40532">
        <w:rPr>
          <w:u w:val="single"/>
          <w:lang w:val="en-US"/>
        </w:rPr>
        <w:t>Senate</w:t>
      </w:r>
      <w:r w:rsidR="00AA3725">
        <w:fldChar w:fldCharType="end"/>
      </w:r>
      <w:r w:rsidRPr="00C40532">
        <w:rPr>
          <w:lang w:val="en-US"/>
        </w:rPr>
        <w:t> from making any amendments to the total spending and revenue amounts proposed by the government.</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Once approved by parliament, the government may make adjustments of up to 2% to the budget without having to seek further parliamentary approval.</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2011, the government introduced a bill to amend article 34 of the Constitution to ensure a balanced budget (</w:t>
      </w:r>
      <w:r w:rsidR="00AA3725">
        <w:fldChar w:fldCharType="begin"/>
      </w:r>
      <w:r w:rsidR="00AA3725" w:rsidRPr="003E0431">
        <w:rPr>
          <w:lang w:val="en-US"/>
        </w:rPr>
        <w:instrText>HYPERLINK "https://en.wikipedia.org/wiki/Golden_Rule" \o "Golden Rule"</w:instrText>
      </w:r>
      <w:r w:rsidR="00AA3725">
        <w:fldChar w:fldCharType="separate"/>
      </w:r>
      <w:r w:rsidRPr="00C40532">
        <w:rPr>
          <w:rFonts w:ascii="Times New Roman" w:hAnsi="Times New Roman" w:cs="Times New Roman"/>
          <w:sz w:val="24"/>
          <w:szCs w:val="24"/>
          <w:u w:val="single"/>
          <w:lang w:val="en-US"/>
        </w:rPr>
        <w:t>Golden Rule</w:t>
      </w:r>
      <w:r w:rsidR="00AA3725">
        <w:fldChar w:fldCharType="end"/>
      </w:r>
      <w:r w:rsidRPr="00C40532">
        <w:rPr>
          <w:rFonts w:ascii="Times New Roman" w:hAnsi="Times New Roman" w:cs="Times New Roman"/>
          <w:sz w:val="24"/>
          <w:szCs w:val="24"/>
          <w:lang w:val="en-US"/>
        </w:rPr>
        <w:t>).</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French budget concerns only spending and revenue by central government. It thus excludes the Social Security budget and regional and local </w:t>
      </w:r>
      <w:proofErr w:type="gramStart"/>
      <w:r w:rsidRPr="00C40532">
        <w:rPr>
          <w:rFonts w:ascii="Times New Roman" w:hAnsi="Times New Roman" w:cs="Times New Roman"/>
          <w:sz w:val="24"/>
          <w:szCs w:val="24"/>
          <w:lang w:val="en-US"/>
        </w:rPr>
        <w:t>authorities</w:t>
      </w:r>
      <w:proofErr w:type="gramEnd"/>
      <w:r w:rsidRPr="00C40532">
        <w:rPr>
          <w:rFonts w:ascii="Times New Roman" w:hAnsi="Times New Roman" w:cs="Times New Roman"/>
          <w:sz w:val="24"/>
          <w:szCs w:val="24"/>
          <w:lang w:val="en-US"/>
        </w:rPr>
        <w:t xml:space="preserve"> budgets.</w:t>
      </w:r>
    </w:p>
    <w:p w:rsidR="00472A60" w:rsidRPr="00C40532" w:rsidRDefault="00472A60" w:rsidP="00472A60">
      <w:pPr>
        <w:pBdr>
          <w:bottom w:val="single" w:sz="4" w:space="0" w:color="A2A9B1"/>
        </w:pBdr>
        <w:spacing w:after="0" w:line="240" w:lineRule="auto"/>
        <w:jc w:val="both"/>
        <w:outlineLvl w:val="1"/>
        <w:rPr>
          <w:rFonts w:ascii="Times New Roman" w:hAnsi="Times New Roman" w:cs="Times New Roman"/>
          <w:sz w:val="24"/>
          <w:szCs w:val="24"/>
          <w:lang w:val="en-US"/>
        </w:rPr>
      </w:pPr>
    </w:p>
    <w:p w:rsidR="00472A60" w:rsidRPr="00C40532" w:rsidRDefault="00472A60" w:rsidP="00472A60">
      <w:pPr>
        <w:pBdr>
          <w:bottom w:val="single" w:sz="4" w:space="0" w:color="A2A9B1"/>
        </w:pBdr>
        <w:spacing w:after="0" w:line="240" w:lineRule="auto"/>
        <w:jc w:val="center"/>
        <w:outlineLvl w:val="1"/>
        <w:rPr>
          <w:rFonts w:ascii="Times New Roman" w:hAnsi="Times New Roman" w:cs="Times New Roman"/>
          <w:b/>
          <w:sz w:val="24"/>
          <w:szCs w:val="24"/>
        </w:rPr>
      </w:pPr>
      <w:r w:rsidRPr="00C40532">
        <w:rPr>
          <w:rFonts w:ascii="Times New Roman" w:hAnsi="Times New Roman" w:cs="Times New Roman"/>
          <w:b/>
          <w:sz w:val="24"/>
          <w:szCs w:val="24"/>
        </w:rPr>
        <w:t>Public spending in 201</w:t>
      </w:r>
      <w:r w:rsidR="000A0C98">
        <w:rPr>
          <w:rFonts w:ascii="Times New Roman" w:hAnsi="Times New Roman" w:cs="Times New Roman"/>
          <w:b/>
          <w:sz w:val="24"/>
          <w:szCs w:val="24"/>
        </w:rPr>
        <w:t>9</w:t>
      </w:r>
      <w:r w:rsidRPr="00C40532">
        <w:rPr>
          <w:rFonts w:ascii="Times New Roman" w:hAnsi="Times New Roman" w:cs="Times New Roman"/>
          <w:b/>
          <w:sz w:val="24"/>
          <w:szCs w:val="24"/>
        </w:rPr>
        <w:t>[</w:t>
      </w:r>
      <w:hyperlink r:id="rId35" w:tooltip="Edit section: Public spending in 2013" w:history="1">
        <w:r w:rsidRPr="00C40532">
          <w:rPr>
            <w:rFonts w:ascii="Times New Roman" w:hAnsi="Times New Roman" w:cs="Times New Roman"/>
            <w:b/>
            <w:sz w:val="24"/>
            <w:szCs w:val="24"/>
            <w:u w:val="single"/>
          </w:rPr>
          <w:t>edit</w:t>
        </w:r>
      </w:hyperlink>
      <w:r w:rsidRPr="00C40532">
        <w:rPr>
          <w:rFonts w:ascii="Times New Roman" w:hAnsi="Times New Roman" w:cs="Times New Roman"/>
          <w:b/>
          <w:sz w:val="24"/>
          <w:szCs w:val="24"/>
        </w:rPr>
        <w:t>]</w:t>
      </w:r>
    </w:p>
    <w:tbl>
      <w:tblPr>
        <w:tblW w:w="0" w:type="auto"/>
        <w:tblBorders>
          <w:top w:val="single" w:sz="4" w:space="0" w:color="A2A9B1"/>
          <w:left w:val="single" w:sz="4" w:space="0" w:color="A2A9B1"/>
          <w:bottom w:val="single" w:sz="4" w:space="0" w:color="A2A9B1"/>
          <w:right w:val="single" w:sz="4" w:space="0" w:color="A2A9B1"/>
        </w:tblBorders>
        <w:shd w:val="clear" w:color="auto" w:fill="F8F9FA"/>
        <w:tblCellMar>
          <w:top w:w="15" w:type="dxa"/>
          <w:left w:w="15" w:type="dxa"/>
          <w:bottom w:w="15" w:type="dxa"/>
          <w:right w:w="15" w:type="dxa"/>
        </w:tblCellMar>
        <w:tblLook w:val="04A0"/>
      </w:tblPr>
      <w:tblGrid>
        <w:gridCol w:w="1659"/>
        <w:gridCol w:w="1861"/>
        <w:gridCol w:w="1377"/>
        <w:gridCol w:w="2122"/>
        <w:gridCol w:w="2122"/>
        <w:gridCol w:w="897"/>
      </w:tblGrid>
      <w:tr w:rsidR="00472A60" w:rsidRPr="00C40532" w:rsidTr="000A0C98">
        <w:trPr>
          <w:tblHeader/>
        </w:trPr>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Item</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Central Government</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Social Security</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Local &amp; Regional Government</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Quasi-governmental bodies</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72A60" w:rsidRPr="00C40532" w:rsidRDefault="00472A60" w:rsidP="000A0C98">
            <w:pPr>
              <w:spacing w:after="0" w:line="240" w:lineRule="auto"/>
              <w:jc w:val="both"/>
              <w:rPr>
                <w:rFonts w:ascii="Times New Roman" w:hAnsi="Times New Roman" w:cs="Times New Roman"/>
                <w:b/>
                <w:bCs/>
                <w:sz w:val="24"/>
                <w:szCs w:val="24"/>
              </w:rPr>
            </w:pPr>
            <w:r w:rsidRPr="00C40532">
              <w:rPr>
                <w:rFonts w:ascii="Times New Roman" w:hAnsi="Times New Roman" w:cs="Times New Roman"/>
                <w:b/>
                <w:bCs/>
                <w:sz w:val="24"/>
                <w:szCs w:val="24"/>
              </w:rPr>
              <w:t>Total</w:t>
            </w:r>
          </w:p>
        </w:tc>
      </w:tr>
      <w:tr w:rsidR="00472A60" w:rsidRPr="00C40532" w:rsidTr="000A0C98">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Expenditures</w:t>
            </w:r>
            <w:r w:rsidRPr="00C40532">
              <w:rPr>
                <w:rFonts w:ascii="Times New Roman" w:hAnsi="Times New Roman" w:cs="Times New Roman"/>
                <w:sz w:val="24"/>
                <w:szCs w:val="24"/>
              </w:rPr>
              <w:br/>
              <w:t>(billion €)</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562.9</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252</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81.3</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1383.9</w:t>
            </w:r>
          </w:p>
        </w:tc>
      </w:tr>
      <w:tr w:rsidR="00472A60" w:rsidRPr="00C40532" w:rsidTr="000A0C98">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Revenues</w:t>
            </w:r>
            <w:r w:rsidRPr="00C40532">
              <w:rPr>
                <w:rFonts w:ascii="Times New Roman" w:hAnsi="Times New Roman" w:cs="Times New Roman"/>
                <w:sz w:val="24"/>
                <w:szCs w:val="24"/>
              </w:rPr>
              <w:br/>
              <w:t>(billion €)</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419.8</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552.8</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242.8</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82.6</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1298.0</w:t>
            </w:r>
          </w:p>
        </w:tc>
      </w:tr>
      <w:tr w:rsidR="00472A60" w:rsidRPr="00C40532" w:rsidTr="000A0C98">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Surplus/Deficit</w:t>
            </w:r>
            <w:r w:rsidRPr="00C40532">
              <w:rPr>
                <w:rFonts w:ascii="Times New Roman" w:hAnsi="Times New Roman" w:cs="Times New Roman"/>
                <w:sz w:val="24"/>
                <w:szCs w:val="24"/>
              </w:rPr>
              <w:br/>
              <w:t>(billion €)</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-67.9</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-10.1</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-9.2</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1.3</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-85.89</w:t>
            </w:r>
            <w:r w:rsidRPr="00C40532">
              <w:rPr>
                <w:rFonts w:ascii="Times New Roman" w:hAnsi="Times New Roman" w:cs="Times New Roman"/>
                <w:sz w:val="24"/>
                <w:szCs w:val="24"/>
              </w:rPr>
              <w:br/>
            </w:r>
          </w:p>
        </w:tc>
      </w:tr>
    </w:tbl>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ind w:firstLine="567"/>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3. State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 funds.</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Attached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budgets.</w:t>
      </w:r>
      <w:proofErr w:type="gramEnd"/>
    </w:p>
    <w:p w:rsidR="00472A60" w:rsidRPr="00C40532" w:rsidRDefault="00472A60" w:rsidP="00472A60">
      <w:pPr>
        <w:shd w:val="clear" w:color="auto" w:fill="FFFFFF"/>
        <w:tabs>
          <w:tab w:val="left" w:pos="180"/>
        </w:tabs>
        <w:spacing w:after="0" w:line="240" w:lineRule="auto"/>
        <w:ind w:firstLine="34"/>
        <w:jc w:val="both"/>
        <w:rPr>
          <w:rStyle w:val="hps"/>
          <w:rFonts w:ascii="Times New Roman" w:hAnsi="Times New Roman" w:cs="Times New Roman"/>
          <w:b/>
          <w:sz w:val="24"/>
          <w:szCs w:val="24"/>
          <w:lang w:val="en-US"/>
        </w:rPr>
      </w:pPr>
    </w:p>
    <w:p w:rsidR="00472A60" w:rsidRPr="00C40532" w:rsidRDefault="00472A60" w:rsidP="00472A60">
      <w:pPr>
        <w:shd w:val="clear" w:color="auto" w:fill="FFFFFF"/>
        <w:tabs>
          <w:tab w:val="left" w:pos="180"/>
        </w:tabs>
        <w:spacing w:after="0" w:line="240" w:lineRule="auto"/>
        <w:ind w:firstLine="34"/>
        <w:jc w:val="both"/>
        <w:rPr>
          <w:rFonts w:ascii="Times New Roman" w:hAnsi="Times New Roman" w:cs="Times New Roman"/>
          <w:b/>
          <w:spacing w:val="-9"/>
          <w:sz w:val="24"/>
          <w:szCs w:val="24"/>
          <w:lang w:val="en-US"/>
        </w:rPr>
      </w:pPr>
      <w:r w:rsidRPr="00C40532">
        <w:rPr>
          <w:rFonts w:ascii="Times New Roman" w:hAnsi="Times New Roman" w:cs="Times New Roman"/>
          <w:b/>
          <w:noProof/>
          <w:spacing w:val="-9"/>
          <w:sz w:val="24"/>
          <w:szCs w:val="24"/>
        </w:rPr>
        <w:lastRenderedPageBreak/>
        <w:drawing>
          <wp:inline distT="0" distB="0" distL="0" distR="0">
            <wp:extent cx="6397118" cy="3049286"/>
            <wp:effectExtent l="19050" t="0" r="3682"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6402079" cy="3051651"/>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tabs>
          <w:tab w:val="left" w:pos="180"/>
        </w:tabs>
        <w:spacing w:after="0" w:line="240" w:lineRule="auto"/>
        <w:ind w:firstLine="34"/>
        <w:jc w:val="both"/>
        <w:rPr>
          <w:rFonts w:ascii="Times New Roman" w:hAnsi="Times New Roman" w:cs="Times New Roman"/>
          <w:b/>
          <w:spacing w:val="-9"/>
          <w:sz w:val="24"/>
          <w:szCs w:val="24"/>
          <w:lang w:val="en-US"/>
        </w:rPr>
      </w:pPr>
    </w:p>
    <w:p w:rsidR="00472A60" w:rsidRPr="00C40532" w:rsidRDefault="00472A60" w:rsidP="00472A60">
      <w:pPr>
        <w:shd w:val="clear" w:color="auto" w:fill="FFFFFF"/>
        <w:tabs>
          <w:tab w:val="left" w:pos="180"/>
        </w:tabs>
        <w:spacing w:after="0" w:line="240" w:lineRule="auto"/>
        <w:ind w:firstLine="34"/>
        <w:jc w:val="both"/>
        <w:rPr>
          <w:rFonts w:ascii="Times New Roman" w:hAnsi="Times New Roman" w:cs="Times New Roman"/>
          <w:b/>
          <w:spacing w:val="-9"/>
          <w:sz w:val="24"/>
          <w:szCs w:val="24"/>
          <w:lang w:val="en-US"/>
        </w:rPr>
      </w:pPr>
      <w:r w:rsidRPr="00C40532">
        <w:rPr>
          <w:rFonts w:ascii="Times New Roman" w:hAnsi="Times New Roman" w:cs="Times New Roman"/>
          <w:b/>
          <w:noProof/>
          <w:spacing w:val="-9"/>
          <w:sz w:val="24"/>
          <w:szCs w:val="24"/>
        </w:rPr>
        <w:drawing>
          <wp:inline distT="0" distB="0" distL="0" distR="0">
            <wp:extent cx="6367838" cy="2835409"/>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6372143" cy="2837326"/>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jc w:val="both"/>
        <w:outlineLvl w:val="1"/>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outlineLvl w:val="1"/>
        <w:rPr>
          <w:rFonts w:ascii="Times New Roman" w:hAnsi="Times New Roman" w:cs="Times New Roman"/>
          <w:sz w:val="24"/>
          <w:szCs w:val="24"/>
          <w:lang w:val="en-US"/>
        </w:rPr>
      </w:pPr>
      <w:r w:rsidRPr="00C40532">
        <w:rPr>
          <w:rFonts w:ascii="Times New Roman" w:hAnsi="Times New Roman" w:cs="Times New Roman"/>
          <w:sz w:val="24"/>
          <w:szCs w:val="24"/>
          <w:lang w:val="en-US"/>
        </w:rPr>
        <w:t>BALANCE OF PAYMENTS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Between 1945 and 1958, France had a constant deficit in its balance of payments. The deficit was financed by foreign loans and by US aid under the Marshall Plan, which totaled more than $4.5 billion. A 1958 currency reform devalued the franc by 17.5%, reduced quota restrictions on imports, and allowed for repatriation of capital; these measures, combined with increased tourist trade and greater spending by US armed forces in the franc zone, improved France's payments position. </w:t>
      </w:r>
      <w:r w:rsidRPr="00C40532">
        <w:rPr>
          <w:rFonts w:ascii="Times New Roman" w:hAnsi="Times New Roman" w:cs="Times New Roman"/>
          <w:sz w:val="24"/>
          <w:szCs w:val="24"/>
        </w:rPr>
        <w:t>With payments surpluses during</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tbl>
      <w:tblPr>
        <w:tblW w:w="0" w:type="auto"/>
        <w:tblInd w:w="1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3280"/>
        <w:gridCol w:w="740"/>
        <w:gridCol w:w="740"/>
        <w:gridCol w:w="500"/>
      </w:tblGrid>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Current Account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4.4</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Balance on goods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1.0</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Imports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-360.8</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lastRenderedPageBreak/>
              <w:t>      Exports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361.9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Balance on services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14.9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Balance on income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7.6</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Current transfers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-19.2</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Capital Account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-8.2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Financial Account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-0.7</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Direct investment abroad</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-0.7</w: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Direct investment abroad</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-57.4</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Direct investment in France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47.8</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Portfolio investment assets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-147.5</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Portfolio investment liabilities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136.2</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Financial derivatives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-7.1</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Other investment assets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-20.0</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Other investment liabilities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47.4</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Net Errors and Omissions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5.8</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Reserves and Related Items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-1.3</w:t>
            </w:r>
          </w:p>
        </w:tc>
      </w:tr>
      <w:tr w:rsidR="00472A60" w:rsidRPr="003E0431" w:rsidTr="000A0C98">
        <w:tc>
          <w:tcPr>
            <w:tcW w:w="0" w:type="auto"/>
            <w:gridSpan w:val="4"/>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data not available or not significant.</w:t>
            </w:r>
          </w:p>
        </w:tc>
      </w:tr>
    </w:tbl>
    <w:p w:rsidR="00472A60" w:rsidRPr="00C40532" w:rsidRDefault="00472A60" w:rsidP="00472A60">
      <w:pPr>
        <w:shd w:val="clear" w:color="auto" w:fill="FFFFFF"/>
        <w:spacing w:after="0" w:line="240" w:lineRule="auto"/>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Most of the 1960s, gold and currency reserve holdings rose to $6.9 billion by the end of 1967. However, a massive deficit in 1968 led to another devaluation of the franc in 1969, and by 31 December 1969, gold and reserve holdings had dropped to $3.8 billion. After surpluses in 1970–72 raised international reserves to over $10 billion, price increases for oil and other raw materials resulted in substantial negative balances on current accounts in 1973 and 1974; because of this, France required massive infusions of shortterm capital to meet its payments obligations.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Huge surpluses on the services account led to positive payments balances during 1977–80, when reserves rose by nearly $9.7 billion. After that, France's trade position deteriorated sharply. Foreign exchange reserves fell from $27.8 billion as of March 1981 to $14.1 billion by March 1983. To meet its payments obligation, France had to secure a $4 billion standby credit from international banks as well as loans from </w:t>
      </w:r>
      <w:r w:rsidR="00AA3725">
        <w:fldChar w:fldCharType="begin"/>
      </w:r>
      <w:r w:rsidR="00AA3725" w:rsidRPr="003E0431">
        <w:rPr>
          <w:lang w:val="en-US"/>
        </w:rPr>
        <w:instrText>HYPERLINK "http://www.encyclopedia.com/places/asia/arabian-peninsula-political-geography/saudi-arabia"</w:instrText>
      </w:r>
      <w:r w:rsidR="00AA3725">
        <w:fldChar w:fldCharType="separate"/>
      </w:r>
      <w:r w:rsidRPr="00C40532">
        <w:rPr>
          <w:rFonts w:ascii="Times New Roman" w:hAnsi="Times New Roman" w:cs="Times New Roman"/>
          <w:sz w:val="24"/>
          <w:szCs w:val="24"/>
          <w:lang w:val="en-US"/>
        </w:rPr>
        <w:t>Saudi Arabia</w:t>
      </w:r>
      <w:r w:rsidR="00AA3725">
        <w:fldChar w:fldCharType="end"/>
      </w:r>
      <w:r w:rsidRPr="00C40532">
        <w:rPr>
          <w:rFonts w:ascii="Times New Roman" w:hAnsi="Times New Roman" w:cs="Times New Roman"/>
          <w:sz w:val="24"/>
          <w:szCs w:val="24"/>
          <w:lang w:val="en-US"/>
        </w:rPr>
        <w:t> and the EC. During the mid-1980s, the trade deficit generally moderated; the current accounts balance recovered in 1985 from the heavy deficits of the past.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1992, the merchandise trade account recorded a surplus after having recorded a significant deficit of 1990. Trade in industrial goods (including military equipment) and a surplus in the manufacturing sector (the first since 1986) were responsible for the boost in exports. Economic growth rose throughout 1994 due to exports to English-speaking countries and a strong economy in Europe. Exports of both goods and services significantly contributed to GDP growth in 1995 with exports of goods totaling $270.4 billion and imports totaling $259.2 billion, resulting in a trade balance on goods of $11.2 billion. Exports of services totaled $97.8 billion while imports totaled $78.5 billion, resulting in a balance on services of $19.2 billion.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Although France in recent years has run consistent trade and current account surpluses, the country's trade balance showed a deficit in 2001, the first since 1991. It turned around in 2002. The </w:t>
      </w:r>
      <w:r w:rsidRPr="00C40532">
        <w:rPr>
          <w:rFonts w:ascii="Times New Roman" w:hAnsi="Times New Roman" w:cs="Times New Roman"/>
          <w:sz w:val="24"/>
          <w:szCs w:val="24"/>
          <w:lang w:val="en-US"/>
        </w:rPr>
        <w:lastRenderedPageBreak/>
        <w:t>value of merchandise exports in 2004 totaled $421.1 billion, while imports totaled $429.1 billion, resulting in a trade deficit of $7.9 billion. Total trade for 2004 amounted to $858.2 billion, over 40% of GDP. France for several years had posted surpluses on the services and investment income balances. Nevertheless, the current account recorded a deficit of $4.8 billion, or 2% of GDP in 2004.</w:t>
      </w:r>
    </w:p>
    <w:p w:rsidR="00472A60" w:rsidRPr="00C40532" w:rsidRDefault="00472A60" w:rsidP="00472A60">
      <w:pPr>
        <w:shd w:val="clear" w:color="auto" w:fill="FFFFFF"/>
        <w:spacing w:after="0" w:line="240" w:lineRule="auto"/>
        <w:ind w:firstLine="567"/>
        <w:jc w:val="both"/>
        <w:outlineLvl w:val="1"/>
        <w:rPr>
          <w:rFonts w:ascii="Times New Roman" w:hAnsi="Times New Roman" w:cs="Times New Roman"/>
          <w:sz w:val="24"/>
          <w:szCs w:val="24"/>
          <w:lang w:val="en-US"/>
        </w:rPr>
      </w:pPr>
      <w:r w:rsidRPr="00C40532">
        <w:rPr>
          <w:rFonts w:ascii="Times New Roman" w:hAnsi="Times New Roman" w:cs="Times New Roman"/>
          <w:sz w:val="24"/>
          <w:szCs w:val="24"/>
          <w:lang w:val="en-US"/>
        </w:rPr>
        <w:t>BANKING AND SECURITIES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Banque de France, founded in 1800, came completely under government control in 1945. It is the bank of issue, sets discount rates and maximum discounts for each bank, regulates public and private finance, and is the Treasury depository. In 1945, a provisional government headed by Gen. de Gaulle also nationalized France's four largest commercial banks, and the state thus came to control 55% of all deposits. The four banks were Crédit Lyonnais, the Société Générale, the Banque Nationale pour le Commerce et l'Industrie, and the Comptoir National d'Escompte de Paris. In 1966, the Banque Nationale and the Comptoir merged and formed the Banque Nationale de Paris (BNP).</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1982, Socialist president François Mitterrand nationalized 39 banks, bringing the state's control over deposits to 90%. Among leading banks nationalized in 1982 was the Crédit Commercial de France, but this bank and Société Générale were privatized in 1987 by the Chirac government.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France's (and Europe's) biggest bank is a curiosity. Crédit Agricole, founded at the end of the 19th century, was for most of its life a federation of rurally based mutual credit organizations. It has preserved its rural base and plays the leading role in providing farmers with state-subsidized loans. After 1982 it was allowed to pursue a policy of diversification, so that farmers eventually accounted for only 15% of its customers. In 1995 Crédit Agricole was listed as the eighth-biggest bank in the world, being preceded by six Japanese banks and HSBC Holdings.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1999, BNP and rival Société Générale attempted to take over another private bank, Paribas. Concurrently, BNP was waging a takeover bid for Société Générale itself. Ultimately, BNP won outright control of Paribas, but only 36.8% of the shares of Société Générale.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La Poste, the postal service, which in France is an independent public </w:t>
      </w:r>
      <w:proofErr w:type="gramStart"/>
      <w:r w:rsidRPr="00C40532">
        <w:rPr>
          <w:rFonts w:ascii="Times New Roman" w:hAnsi="Times New Roman" w:cs="Times New Roman"/>
          <w:sz w:val="24"/>
          <w:szCs w:val="24"/>
          <w:lang w:val="en-US"/>
        </w:rPr>
        <w:t>entity,</w:t>
      </w:r>
      <w:proofErr w:type="gramEnd"/>
      <w:r w:rsidRPr="00C40532">
        <w:rPr>
          <w:rFonts w:ascii="Times New Roman" w:hAnsi="Times New Roman" w:cs="Times New Roman"/>
          <w:sz w:val="24"/>
          <w:szCs w:val="24"/>
          <w:lang w:val="en-US"/>
        </w:rPr>
        <w:t xml:space="preserve"> also offers financial services and held about 10% of the market in 2002. By virtue of the Banking Act of January 1984, the main regulatory authority for the banking sector is the Commission Bancaire. It is presided over by the governor of the Banque de France. The International Monetary Fund reports that in 2001, currency and demand deposits—an aggregate commonly known as M1—</w:t>
      </w:r>
      <w:proofErr w:type="gramStart"/>
      <w:r w:rsidRPr="00C40532">
        <w:rPr>
          <w:rFonts w:ascii="Times New Roman" w:hAnsi="Times New Roman" w:cs="Times New Roman"/>
          <w:sz w:val="24"/>
          <w:szCs w:val="24"/>
          <w:lang w:val="en-US"/>
        </w:rPr>
        <w:t>were</w:t>
      </w:r>
      <w:proofErr w:type="gramEnd"/>
      <w:r w:rsidRPr="00C40532">
        <w:rPr>
          <w:rFonts w:ascii="Times New Roman" w:hAnsi="Times New Roman" w:cs="Times New Roman"/>
          <w:sz w:val="24"/>
          <w:szCs w:val="24"/>
          <w:lang w:val="en-US"/>
        </w:rPr>
        <w:t xml:space="preserve"> equal to $300.4 billion. In that same year, M2—an aggregate equal to M1 plus savings deposits, small time deposits, and money market mutual funds—was $896.5 billion.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Public issues of stocks and bonds may be floated by corporations or by limited partnerships with shares. Publicly held companies that wish their stock to be traded on the exchange must receive prior authorization from the Stock Exchange Commission within the Ministry of Finance. In January 1962, the two principal Paris stock exchanges were merged. The six provincial exchanges specialize in shares of medium-size and small firms in their respective regions. In 2004, a total of 701 companies were listed on EURONEXT Paris. Total market capitalization in that same year came to $1,857.235 billion. In 2004, the CAC 40 index was up 7.4% from the previous year to 3,821.2.</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Measured by stock market capitalization, the Paris Bourse is the third-largest in Europe after London and Frankfurt. The Lyon Bourse is the most active provincial stock exchange. MATIF (marché à terme des instruments financiers), the financial futures exchange, was opened in Paris in 1986 and has proved a success. The Société des Bourses Françaises (SBF), the operator of the French stock market, has been determinedly pursuing a policy of reform and modernization, and it expects to benefit from the liberalization of financial services brought about by the EU's Investment Services Directive (ISD). French legislation, providing for the liberalization of financial services, transposed the directive into national law.</w:t>
      </w:r>
    </w:p>
    <w:p w:rsidR="00472A60" w:rsidRPr="00C40532" w:rsidRDefault="00472A60" w:rsidP="00472A60">
      <w:pPr>
        <w:shd w:val="clear" w:color="auto" w:fill="FFFFFF"/>
        <w:spacing w:after="0" w:line="240" w:lineRule="auto"/>
        <w:ind w:firstLine="567"/>
        <w:jc w:val="both"/>
        <w:outlineLvl w:val="1"/>
        <w:rPr>
          <w:rFonts w:ascii="Times New Roman" w:hAnsi="Times New Roman" w:cs="Times New Roman"/>
          <w:sz w:val="24"/>
          <w:szCs w:val="24"/>
          <w:lang w:val="en-US"/>
        </w:rPr>
      </w:pPr>
      <w:r w:rsidRPr="00C40532">
        <w:rPr>
          <w:rFonts w:ascii="Times New Roman" w:hAnsi="Times New Roman" w:cs="Times New Roman"/>
          <w:sz w:val="24"/>
          <w:szCs w:val="24"/>
          <w:lang w:val="en-US"/>
        </w:rPr>
        <w:t>INSURANCE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Insurance is supervised by the government directorate of insurance, while reinsurance is regulated by the Ministry of Commerce. In 1946, a total of 32 major insurance companies were nationalized, and a central reinsurance institute was organized. All private insurance companies are required to place a portion of their reinsurance with the central reinsurance institute. In France, workers' compensation, tenants' property damage, third-party automobile, hunter's liability insurance, and professional indemnity for some professions are among those insurance lines that are compulsory.</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However, as of 1996, the insurance sector was being shifted completely into private hands. Union des Assurances de Paris (UAP), which is France's largest insurance group, was privatized in 1994. The combining of insurance services with retail banking has become fashionable in recent years, hence the neologism </w:t>
      </w:r>
      <w:r w:rsidRPr="00C40532">
        <w:rPr>
          <w:rFonts w:ascii="Times New Roman" w:hAnsi="Times New Roman" w:cs="Times New Roman"/>
          <w:i/>
          <w:iCs/>
          <w:sz w:val="24"/>
          <w:szCs w:val="24"/>
          <w:lang w:val="en-US"/>
        </w:rPr>
        <w:t>bancassurance.</w:t>
      </w:r>
      <w:r w:rsidRPr="00C40532">
        <w:rPr>
          <w:rFonts w:ascii="Times New Roman" w:hAnsi="Times New Roman" w:cs="Times New Roman"/>
          <w:sz w:val="24"/>
          <w:szCs w:val="24"/>
          <w:lang w:val="en-US"/>
        </w:rPr>
        <w:t> Partners in this practice are UAP and BNP. Another development has been to forge alliances across the </w:t>
      </w:r>
      <w:r w:rsidR="00AA3725">
        <w:fldChar w:fldCharType="begin"/>
      </w:r>
      <w:r w:rsidR="00AA3725" w:rsidRPr="003E0431">
        <w:rPr>
          <w:lang w:val="en-US"/>
        </w:rPr>
        <w:instrText>HYPERLINK "http://www.encyclopedia.com/places/germany-scandinavia-and-central-europe/central-european-physical-geography/rhine"</w:instrText>
      </w:r>
      <w:r w:rsidR="00AA3725">
        <w:fldChar w:fldCharType="separate"/>
      </w:r>
      <w:r w:rsidRPr="00C40532">
        <w:rPr>
          <w:rFonts w:ascii="Times New Roman" w:hAnsi="Times New Roman" w:cs="Times New Roman"/>
          <w:sz w:val="24"/>
          <w:szCs w:val="24"/>
          <w:lang w:val="en-US"/>
        </w:rPr>
        <w:t>Rhine</w:t>
      </w:r>
      <w:r w:rsidR="00AA3725">
        <w:fldChar w:fldCharType="end"/>
      </w:r>
      <w:r w:rsidRPr="00C40532">
        <w:rPr>
          <w:rFonts w:ascii="Times New Roman" w:hAnsi="Times New Roman" w:cs="Times New Roman"/>
          <w:sz w:val="24"/>
          <w:szCs w:val="24"/>
          <w:lang w:val="en-US"/>
        </w:rPr>
        <w:t> in Germany. Since July 1994, insurers registered in other European Union (EU) countries have been able to write risks in France under the EU Non-Life Directive.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2003, the value of direct premiums written totaled $163.679 billion, of which life premiums totaled $105.436 billion. In 2002, Groupama GAN was France's leading nonlife insurer, with $7.5 billion of nonlife premiums written. CNP was the leading life insurer, that same year, with $15.3 billion in written life premiums.</w:t>
      </w:r>
    </w:p>
    <w:p w:rsidR="00472A60" w:rsidRPr="00C40532" w:rsidRDefault="00472A60" w:rsidP="00472A60">
      <w:pPr>
        <w:shd w:val="clear" w:color="auto" w:fill="FFFFFF"/>
        <w:spacing w:after="0" w:line="240" w:lineRule="auto"/>
        <w:ind w:right="22"/>
        <w:jc w:val="both"/>
        <w:rPr>
          <w:rStyle w:val="hps"/>
          <w:rFonts w:ascii="Times New Roman" w:hAnsi="Times New Roman" w:cs="Times New Roman"/>
          <w:b/>
          <w:sz w:val="24"/>
          <w:szCs w:val="24"/>
          <w:lang w:val="en-US"/>
        </w:rPr>
      </w:pPr>
    </w:p>
    <w:p w:rsidR="00472A60" w:rsidRPr="00C40532" w:rsidRDefault="00472A60" w:rsidP="00472A60">
      <w:pPr>
        <w:shd w:val="clear" w:color="auto" w:fill="FFFFFF"/>
        <w:spacing w:after="0" w:line="240" w:lineRule="auto"/>
        <w:ind w:right="22" w:firstLine="567"/>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4.</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revenues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expenditures of local budgets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their importance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financing</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social infrastructure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area</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 xml:space="preserve">France has a highly developed social welfare system. The social security fund is financed by contributions from both employers and </w:t>
      </w:r>
      <w:proofErr w:type="gramStart"/>
      <w:r w:rsidRPr="00C40532">
        <w:rPr>
          <w:color w:val="333333"/>
          <w:lang w:val="en-US"/>
        </w:rPr>
        <w:t>employees, calculated on percentages of wages and salaries, and is</w:t>
      </w:r>
      <w:proofErr w:type="gramEnd"/>
      <w:r w:rsidRPr="00C40532">
        <w:rPr>
          <w:color w:val="333333"/>
          <w:lang w:val="en-US"/>
        </w:rPr>
        <w:t xml:space="preserve"> partially subsidized by the government. Old age insurance guarantees payment of a pension when the insured reaches age 60. Disability insurance pays a pension to compensate for the loss of earnings and costs of care. Unemployment insurance is provided for all workers. Workers' medical benefits are paid directly for all necessary care. Maternity benefits are payable for six weeks before and 10 weeks after the expected date of childbirth for the first and second child. There is a universal system of family allowances for all residents, including a birth grant, income supplements for reduced work, and child care benefits.</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Equal pay for equal work is mandated by law, although this is not always the case in practice. Men continue to earn more than women and unemployment rates are higher for women than for men. Sexual harassment is illegal in the workplace and is generally effectively enforced. In 2004 legislation was passed creating a High Authority to Fight Discrimination and Promote Equality. Rape and spousal abuse laws are strictly enforced and the penalties are severe. Shelters, counseling, and hotlines are available to victims of sexual abuse and violence.</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Religious freedom is provided for by the constitution. However, large Arab/Muslim, African, and Jewish communities have been subject to harassment and prejudice. Extremist anti-immigrant groups have increasingly been involved in racial attacks. Discrimination on the basis of race, sex, disability, language, religion, or social status is prohibited.</w:t>
      </w:r>
    </w:p>
    <w:p w:rsidR="00472A60" w:rsidRPr="00C40532" w:rsidRDefault="00472A60" w:rsidP="00472A60">
      <w:pPr>
        <w:pStyle w:val="2"/>
        <w:shd w:val="clear" w:color="auto" w:fill="FFFFFF"/>
        <w:spacing w:before="0" w:beforeAutospacing="0" w:after="0" w:afterAutospacing="0"/>
        <w:ind w:firstLine="567"/>
        <w:jc w:val="both"/>
        <w:rPr>
          <w:b w:val="0"/>
          <w:bCs w:val="0"/>
          <w:color w:val="333333"/>
          <w:sz w:val="24"/>
          <w:szCs w:val="24"/>
          <w:lang w:val="en-US"/>
        </w:rPr>
      </w:pPr>
      <w:r w:rsidRPr="00C40532">
        <w:rPr>
          <w:b w:val="0"/>
          <w:bCs w:val="0"/>
          <w:color w:val="333333"/>
          <w:sz w:val="24"/>
          <w:szCs w:val="24"/>
          <w:lang w:val="en-US"/>
        </w:rPr>
        <w:t>HEALTH</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 xml:space="preserve">Under the French system of health care, both public and private health care providers operate through centralized funding. Patients have the option of seeing a private doctor on a fee basis or going to a state-operated facility. Nearly all private doctors are affiliated with the social security system and the patients' expenses are reimbursed in part. Many have private health insurance to cover the difference. During the 1980s, there was a trend away from inpatient and toward outpatient care, with a growing number of patients receiving care at home. Cost containment initiatives were raised in the 1980s and early 1990s to increase patient contributions and establish global budgets for public hospitals. In 1991, new reforms to strengthen the public sector were initiated. The social </w:t>
      </w:r>
      <w:r w:rsidRPr="00C40532">
        <w:rPr>
          <w:color w:val="333333"/>
          <w:lang w:val="en-US"/>
        </w:rPr>
        <w:lastRenderedPageBreak/>
        <w:t>security system subsidizes approximately 75% of all health care costs. Pharmaceutical consumption in France is among the highest of all OECD member countries (exceeded only by Japan and the United States). In 1992, the French government imposed a price-fixing mechanism on drugs.</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France's birth rate was estimated at 11.9 per 1000 in 2002. Approximately 79% of France's married women (ages 15 to 49) used contraception. The total fertility rate in 2000 was 1.9 children per woman during her childbearing years.</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As of 2004, there were an estimated 329 physicians, 667 nurses, 68 dentists, and 101 pharmacists per 100,000 people. Life expectancy in 2005 averaged 79.6. The infant mortality rate was 4.26 per 1,000 live births that year. The overall death rate was an estimated 9.1 per 1,000 people as of 2002. Tobacco and alcohol consumption continue to be health concerns in France.</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Efforts to immunize children up to one year old include: diphtheria, pertussis, and tetanus, polio, and measles. The HIV/AIDS prevalence was 0.40 per 100 adults in 2003. As of 2004, there were approximately 120,000 people living with HIV/AIDS in the country. There were an estimated 1,000 deaths from</w:t>
      </w:r>
      <w:r w:rsidRPr="00C40532">
        <w:rPr>
          <w:rStyle w:val="apple-converted-space"/>
          <w:color w:val="333333"/>
          <w:lang w:val="en-US"/>
        </w:rPr>
        <w:t> </w:t>
      </w:r>
      <w:r w:rsidR="00AA3725">
        <w:fldChar w:fldCharType="begin"/>
      </w:r>
      <w:r w:rsidR="00AA3725" w:rsidRPr="003E0431">
        <w:rPr>
          <w:lang w:val="en-US"/>
        </w:rPr>
        <w:instrText>HYPERLINK "http://www.encyclopedia.com/medicine/diseases-and-conditions/pathology/acquired-immunodeficiency-syndrome"</w:instrText>
      </w:r>
      <w:r w:rsidR="00AA3725">
        <w:fldChar w:fldCharType="separate"/>
      </w:r>
      <w:r w:rsidRPr="00C40532">
        <w:rPr>
          <w:rStyle w:val="a5"/>
          <w:color w:val="2196F3"/>
          <w:lang w:val="en-US"/>
        </w:rPr>
        <w:t>AIDS</w:t>
      </w:r>
      <w:r w:rsidR="00AA3725">
        <w:fldChar w:fldCharType="end"/>
      </w:r>
      <w:r w:rsidRPr="00C40532">
        <w:rPr>
          <w:rStyle w:val="apple-converted-space"/>
          <w:color w:val="333333"/>
          <w:lang w:val="en-US"/>
        </w:rPr>
        <w:t> </w:t>
      </w:r>
      <w:r w:rsidRPr="00C40532">
        <w:rPr>
          <w:color w:val="333333"/>
          <w:lang w:val="en-US"/>
        </w:rPr>
        <w:t>in 2003.</w:t>
      </w:r>
    </w:p>
    <w:p w:rsidR="00472A60" w:rsidRPr="00C40532" w:rsidRDefault="00472A60" w:rsidP="00472A60">
      <w:pPr>
        <w:pStyle w:val="2"/>
        <w:shd w:val="clear" w:color="auto" w:fill="FFFFFF"/>
        <w:spacing w:before="0" w:beforeAutospacing="0" w:after="0" w:afterAutospacing="0"/>
        <w:ind w:firstLine="567"/>
        <w:jc w:val="both"/>
        <w:rPr>
          <w:b w:val="0"/>
          <w:bCs w:val="0"/>
          <w:color w:val="333333"/>
          <w:sz w:val="24"/>
          <w:szCs w:val="24"/>
          <w:lang w:val="en-US"/>
        </w:rPr>
      </w:pPr>
      <w:r w:rsidRPr="00C40532">
        <w:rPr>
          <w:b w:val="0"/>
          <w:bCs w:val="0"/>
          <w:color w:val="333333"/>
          <w:sz w:val="24"/>
          <w:szCs w:val="24"/>
          <w:lang w:val="en-US"/>
        </w:rPr>
        <w:t>HOUSING</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In 2004, there were 30.3 million dwellings nationwide. About 25.4 million, or 84%, were primary residences, 2.9 million were second homes, and about 1.8 million, or 6.1%, were vacant. About 58% of all dwellings are detached homes. The number of people per household was about 2.3. Over 2.9 million residential buildings were built in 1990 or later.</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After World War II, in which 4.2 million dwellings were destroyed and one million damaged, the government took steps to provide inexpensive public housing. Annual construction rose steadily through the 1950s and 1960s; in 1970–75, housing construction of all types increased by an annual average of more than 6%. In 1975, the total number of new dwellings completed was 514,300. Construction slowed thereafter, and by 1996 the number had declined to 236,270.</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In accordance with a law of 1953, industrial and commercial firms employing 10 or more wage earners must invest 1% of their total payroll in housing projects for their employees. These funds can finance either public or private low-cost housing. Concerns must undertake construction of low-cost projects either on their own responsibility or through a building concern to which they supply capital. Special housing allowances are provided for families who must spend an inordinately large share of their income on rent or mortgages.</w:t>
      </w:r>
    </w:p>
    <w:p w:rsidR="00472A60" w:rsidRPr="00C40532" w:rsidRDefault="00472A60" w:rsidP="00472A60">
      <w:pPr>
        <w:pStyle w:val="2"/>
        <w:shd w:val="clear" w:color="auto" w:fill="FFFFFF"/>
        <w:spacing w:before="0" w:beforeAutospacing="0" w:after="0" w:afterAutospacing="0"/>
        <w:ind w:firstLine="567"/>
        <w:jc w:val="both"/>
        <w:rPr>
          <w:b w:val="0"/>
          <w:bCs w:val="0"/>
          <w:color w:val="333333"/>
          <w:sz w:val="24"/>
          <w:szCs w:val="24"/>
          <w:lang w:val="en-US"/>
        </w:rPr>
      </w:pPr>
      <w:r w:rsidRPr="00C40532">
        <w:rPr>
          <w:b w:val="0"/>
          <w:bCs w:val="0"/>
          <w:color w:val="333333"/>
          <w:sz w:val="24"/>
          <w:szCs w:val="24"/>
          <w:lang w:val="en-US"/>
        </w:rPr>
        <w:t>EDUCATION</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The supreme authority over national education in France is the Ministry of Education. Education is compulsory for children from the age of 6 to 16 and is free in all state primary and secondary schools. Higher education is not free, but academic fees are low, and more than half of the students are excused from payment.</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Since the end of 1959, private institutions have been authorized to receive state aid and to ask to be integrated into the public education system. In 2003, about 15% of elementary-school children and 25% of secondary-level students attended private schools, the majority of which are Roman Catholic. In Brittany, most children attend Catholic schools. Freedom of education is guaranteed by law, but the state exercises certain controls over private educational institutions, nearly all of which follow the uniform curriculum prescribed by the Ministry of Education.</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Primary school covers five years of study. There are two levels of secondary instruction. The first, the collège, is compulsory; after four years of schooling are successfully completed, the student receives a national diploma (</w:t>
      </w:r>
      <w:r w:rsidRPr="00C40532">
        <w:rPr>
          <w:i/>
          <w:iCs/>
          <w:color w:val="333333"/>
          <w:lang w:val="en-US"/>
        </w:rPr>
        <w:t xml:space="preserve">brevet des </w:t>
      </w:r>
      <w:proofErr w:type="gramStart"/>
      <w:r w:rsidRPr="00C40532">
        <w:rPr>
          <w:i/>
          <w:iCs/>
          <w:color w:val="333333"/>
          <w:lang w:val="en-US"/>
        </w:rPr>
        <w:t>collèges</w:t>
      </w:r>
      <w:r w:rsidRPr="00C40532">
        <w:rPr>
          <w:rStyle w:val="apple-converted-space"/>
          <w:color w:val="333333"/>
          <w:lang w:val="en-US"/>
        </w:rPr>
        <w:t> </w:t>
      </w:r>
      <w:r w:rsidRPr="00C40532">
        <w:rPr>
          <w:color w:val="333333"/>
          <w:lang w:val="en-US"/>
        </w:rPr>
        <w:t>)</w:t>
      </w:r>
      <w:proofErr w:type="gramEnd"/>
      <w:r w:rsidRPr="00C40532">
        <w:rPr>
          <w:color w:val="333333"/>
          <w:lang w:val="en-US"/>
        </w:rPr>
        <w:t>. Th ose who wish to pursue further studies enter either the two-year</w:t>
      </w:r>
      <w:r w:rsidRPr="00C40532">
        <w:rPr>
          <w:rStyle w:val="apple-converted-space"/>
          <w:color w:val="333333"/>
          <w:lang w:val="en-US"/>
        </w:rPr>
        <w:t> </w:t>
      </w:r>
      <w:r w:rsidRPr="00C40532">
        <w:rPr>
          <w:i/>
          <w:iCs/>
          <w:color w:val="333333"/>
          <w:lang w:val="en-US"/>
        </w:rPr>
        <w:t>lycée d'enseignement professionel</w:t>
      </w:r>
      <w:r w:rsidRPr="00C40532">
        <w:rPr>
          <w:rStyle w:val="apple-converted-space"/>
          <w:color w:val="333333"/>
          <w:lang w:val="en-US"/>
        </w:rPr>
        <w:t> </w:t>
      </w:r>
      <w:r w:rsidRPr="00C40532">
        <w:rPr>
          <w:color w:val="333333"/>
          <w:lang w:val="en-US"/>
        </w:rPr>
        <w:t>or the three-year</w:t>
      </w:r>
      <w:r w:rsidRPr="00C40532">
        <w:rPr>
          <w:rStyle w:val="apple-converted-space"/>
          <w:color w:val="333333"/>
          <w:lang w:val="en-US"/>
        </w:rPr>
        <w:t> </w:t>
      </w:r>
      <w:r w:rsidRPr="00C40532">
        <w:rPr>
          <w:i/>
          <w:iCs/>
          <w:color w:val="333333"/>
          <w:lang w:val="en-US"/>
        </w:rPr>
        <w:t xml:space="preserve">lycée d'enseignement général </w:t>
      </w:r>
      <w:proofErr w:type="gramStart"/>
      <w:r w:rsidRPr="00C40532">
        <w:rPr>
          <w:i/>
          <w:iCs/>
          <w:color w:val="333333"/>
          <w:lang w:val="en-US"/>
        </w:rPr>
        <w:t>et</w:t>
      </w:r>
      <w:proofErr w:type="gramEnd"/>
      <w:r w:rsidRPr="00C40532">
        <w:rPr>
          <w:i/>
          <w:iCs/>
          <w:color w:val="333333"/>
          <w:lang w:val="en-US"/>
        </w:rPr>
        <w:t xml:space="preserve"> technologique</w:t>
      </w:r>
      <w:r w:rsidRPr="00C40532">
        <w:rPr>
          <w:color w:val="333333"/>
          <w:lang w:val="en-US"/>
        </w:rPr>
        <w:t>. The former prepares students for a certificate of vocational competence, the latter for the</w:t>
      </w:r>
      <w:r w:rsidRPr="00C40532">
        <w:rPr>
          <w:rStyle w:val="apple-converted-space"/>
          <w:color w:val="333333"/>
          <w:lang w:val="en-US"/>
        </w:rPr>
        <w:t> </w:t>
      </w:r>
      <w:r w:rsidRPr="00C40532">
        <w:rPr>
          <w:i/>
          <w:iCs/>
          <w:color w:val="333333"/>
          <w:lang w:val="en-US"/>
        </w:rPr>
        <w:t>baccalauréat</w:t>
      </w:r>
      <w:r w:rsidRPr="00C40532">
        <w:rPr>
          <w:color w:val="333333"/>
          <w:lang w:val="en-US"/>
        </w:rPr>
        <w:t>, which is a prerequisite for higher education. Choice of a</w:t>
      </w:r>
      <w:r w:rsidRPr="00C40532">
        <w:rPr>
          <w:rStyle w:val="apple-converted-space"/>
          <w:color w:val="333333"/>
          <w:lang w:val="en-US"/>
        </w:rPr>
        <w:t> </w:t>
      </w:r>
      <w:r w:rsidRPr="00C40532">
        <w:rPr>
          <w:i/>
          <w:iCs/>
          <w:color w:val="333333"/>
          <w:lang w:val="en-US"/>
        </w:rPr>
        <w:t>lycée</w:t>
      </w:r>
      <w:r w:rsidRPr="00C40532">
        <w:rPr>
          <w:rStyle w:val="apple-converted-space"/>
          <w:color w:val="333333"/>
          <w:lang w:val="en-US"/>
        </w:rPr>
        <w:t> </w:t>
      </w:r>
      <w:r w:rsidRPr="00C40532">
        <w:rPr>
          <w:color w:val="333333"/>
          <w:lang w:val="en-US"/>
        </w:rPr>
        <w:t>depends on aptitude test results. The academic year runs from September to June. The primary language of instruction is French.</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lastRenderedPageBreak/>
        <w:t>In 2001, nearly all children between the ages of three and five were enrolled in some type of preschool program. Primary school enrollment in 2003 was estimated at about 99% of age-eligible students. The same year, secondary school enrollment was about 94% of age-eligible students. It is estimated that about 98% of all students complete their primary education. The student-to-teacher ratio for primary school was at about 19:1 in 2003; the ratio for secondary school was about 12:1.</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There are about 70 public universities within 26</w:t>
      </w:r>
      <w:r w:rsidRPr="00C40532">
        <w:rPr>
          <w:rStyle w:val="apple-converted-space"/>
          <w:color w:val="333333"/>
          <w:lang w:val="en-US"/>
        </w:rPr>
        <w:t> </w:t>
      </w:r>
      <w:r w:rsidRPr="00C40532">
        <w:rPr>
          <w:i/>
          <w:iCs/>
          <w:color w:val="333333"/>
          <w:lang w:val="en-US"/>
        </w:rPr>
        <w:t>académies</w:t>
      </w:r>
      <w:r w:rsidRPr="00C40532">
        <w:rPr>
          <w:color w:val="333333"/>
          <w:lang w:val="en-US"/>
        </w:rPr>
        <w:t>, which now act as administrative units. Before the subdivision of these 26 units, the oldest and most important included Aix-Mar-seille (founded in 1409), Besançon (1691), Bordeaux (1441),</w:t>
      </w:r>
      <w:r w:rsidRPr="00C40532">
        <w:rPr>
          <w:rStyle w:val="apple-converted-space"/>
          <w:color w:val="333333"/>
          <w:lang w:val="en-US"/>
        </w:rPr>
        <w:t> </w:t>
      </w:r>
      <w:r w:rsidR="00AA3725">
        <w:fldChar w:fldCharType="begin"/>
      </w:r>
      <w:r w:rsidR="00AA3725" w:rsidRPr="003E0431">
        <w:rPr>
          <w:lang w:val="en-US"/>
        </w:rPr>
        <w:instrText>HYPERLINK "http://www.encyclopedia.com/places/britain-ireland-france-and-low-countries/french-political-geography/caen"</w:instrText>
      </w:r>
      <w:r w:rsidR="00AA3725">
        <w:fldChar w:fldCharType="separate"/>
      </w:r>
      <w:r w:rsidRPr="00C40532">
        <w:rPr>
          <w:rStyle w:val="a5"/>
          <w:color w:val="2196F3"/>
          <w:lang w:val="en-US"/>
        </w:rPr>
        <w:t>Caen</w:t>
      </w:r>
      <w:r w:rsidR="00AA3725">
        <w:fldChar w:fldCharType="end"/>
      </w:r>
      <w:r w:rsidRPr="00C40532">
        <w:rPr>
          <w:rStyle w:val="apple-converted-space"/>
          <w:color w:val="333333"/>
          <w:lang w:val="en-US"/>
        </w:rPr>
        <w:t> </w:t>
      </w:r>
      <w:r w:rsidRPr="00C40532">
        <w:rPr>
          <w:color w:val="333333"/>
          <w:lang w:val="en-US"/>
        </w:rPr>
        <w:t>(1432), Dijon (1722), Grenoble (1339), Lille (1562), Montpellier (1180, reinstituted 1289), Nancy-Metz (1572), Paris (1150), Poitiers (1432), Rennes (1735, founded at Nantes 1461), Strasbourg (1538), and Toulouse (1229). The old University of Paris, also referred to as the</w:t>
      </w:r>
      <w:r w:rsidRPr="00C40532">
        <w:rPr>
          <w:rStyle w:val="apple-converted-space"/>
          <w:color w:val="333333"/>
          <w:lang w:val="en-US"/>
        </w:rPr>
        <w:t> </w:t>
      </w:r>
      <w:r w:rsidR="00AA3725">
        <w:fldChar w:fldCharType="begin"/>
      </w:r>
      <w:r w:rsidR="00AA3725" w:rsidRPr="003E0431">
        <w:rPr>
          <w:lang w:val="en-US"/>
        </w:rPr>
        <w:instrText>HYPERLINK "http://www.encyclopedia.com/social-sciences-and-law/education/colleges-international/sorbonne"</w:instrText>
      </w:r>
      <w:r w:rsidR="00AA3725">
        <w:fldChar w:fldCharType="separate"/>
      </w:r>
      <w:r w:rsidRPr="00C40532">
        <w:rPr>
          <w:rStyle w:val="a5"/>
          <w:color w:val="2196F3"/>
          <w:lang w:val="en-US"/>
        </w:rPr>
        <w:t>Sorbonne</w:t>
      </w:r>
      <w:r w:rsidR="00AA3725">
        <w:fldChar w:fldCharType="end"/>
      </w:r>
      <w:r w:rsidRPr="00C40532">
        <w:rPr>
          <w:color w:val="333333"/>
          <w:lang w:val="en-US"/>
        </w:rPr>
        <w:t>, was the oldest in France and one of the leading institutions of higher learning in the world; it is now divided into 13 units, only a few of which are at the ancient Left Bank site. There are Catholic universities at Argers, Lille, Lyon, and Toulouse.</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Besides the universities and specialized schools (such as</w:t>
      </w:r>
      <w:r w:rsidRPr="00C40532">
        <w:rPr>
          <w:rStyle w:val="apple-converted-space"/>
          <w:color w:val="333333"/>
          <w:lang w:val="en-US"/>
        </w:rPr>
        <w:t> </w:t>
      </w:r>
      <w:r w:rsidRPr="00C40532">
        <w:rPr>
          <w:color w:val="333333"/>
          <w:lang w:val="en-US"/>
        </w:rPr>
        <w:t>École Normale Supérieure, which prepares teachers for secondary and postsecondary positions), higher educational institutions include the prestigious Grandes</w:t>
      </w:r>
      <w:r w:rsidRPr="00C40532">
        <w:rPr>
          <w:rStyle w:val="apple-converted-space"/>
          <w:color w:val="333333"/>
          <w:lang w:val="en-US"/>
        </w:rPr>
        <w:t> </w:t>
      </w:r>
      <w:r w:rsidRPr="00C40532">
        <w:rPr>
          <w:color w:val="333333"/>
          <w:lang w:val="en-US"/>
        </w:rPr>
        <w:t>Écoles, which include the</w:t>
      </w:r>
      <w:r w:rsidRPr="00C40532">
        <w:rPr>
          <w:rStyle w:val="apple-converted-space"/>
          <w:color w:val="333333"/>
          <w:lang w:val="en-US"/>
        </w:rPr>
        <w:t> </w:t>
      </w:r>
      <w:r w:rsidRPr="00C40532">
        <w:rPr>
          <w:color w:val="333333"/>
          <w:lang w:val="en-US"/>
        </w:rPr>
        <w:t>École Nationale d'Administration,</w:t>
      </w:r>
      <w:r w:rsidRPr="00C40532">
        <w:rPr>
          <w:rStyle w:val="apple-converted-space"/>
          <w:color w:val="333333"/>
          <w:lang w:val="en-US"/>
        </w:rPr>
        <w:t> </w:t>
      </w:r>
      <w:r w:rsidRPr="00C40532">
        <w:rPr>
          <w:color w:val="333333"/>
          <w:lang w:val="en-US"/>
        </w:rPr>
        <w:t>École Normale Supérieure, Conservatoire National des Arts et Métiers, and</w:t>
      </w:r>
      <w:r w:rsidRPr="00C40532">
        <w:rPr>
          <w:rStyle w:val="apple-converted-space"/>
          <w:color w:val="333333"/>
          <w:lang w:val="en-US"/>
        </w:rPr>
        <w:t> </w:t>
      </w:r>
      <w:r w:rsidRPr="00C40532">
        <w:rPr>
          <w:color w:val="333333"/>
          <w:lang w:val="en-US"/>
        </w:rPr>
        <w:t>École Polytechnique. Entrance is by competitive examination. Advanced-level research organizations include the Collège de France,</w:t>
      </w:r>
      <w:r w:rsidRPr="00C40532">
        <w:rPr>
          <w:rStyle w:val="apple-converted-space"/>
          <w:color w:val="333333"/>
          <w:lang w:val="en-US"/>
        </w:rPr>
        <w:t> </w:t>
      </w:r>
      <w:r w:rsidRPr="00C40532">
        <w:rPr>
          <w:color w:val="333333"/>
          <w:lang w:val="en-US"/>
        </w:rPr>
        <w:t>École Pratique des Hautes</w:t>
      </w:r>
      <w:r w:rsidRPr="00C40532">
        <w:rPr>
          <w:rStyle w:val="apple-converted-space"/>
          <w:color w:val="333333"/>
          <w:lang w:val="en-US"/>
        </w:rPr>
        <w:t> </w:t>
      </w:r>
      <w:r w:rsidRPr="00C40532">
        <w:rPr>
          <w:color w:val="333333"/>
          <w:lang w:val="en-US"/>
        </w:rPr>
        <w:t>Études, and</w:t>
      </w:r>
      <w:r w:rsidRPr="00C40532">
        <w:rPr>
          <w:rStyle w:val="apple-converted-space"/>
          <w:color w:val="333333"/>
          <w:lang w:val="en-US"/>
        </w:rPr>
        <w:t> </w:t>
      </w:r>
      <w:r w:rsidRPr="00C40532">
        <w:rPr>
          <w:color w:val="333333"/>
          <w:lang w:val="en-US"/>
        </w:rPr>
        <w:t>École des Hautes</w:t>
      </w:r>
      <w:r w:rsidRPr="00C40532">
        <w:rPr>
          <w:rStyle w:val="apple-converted-space"/>
          <w:color w:val="333333"/>
          <w:lang w:val="en-US"/>
        </w:rPr>
        <w:t> </w:t>
      </w:r>
      <w:r w:rsidRPr="00C40532">
        <w:rPr>
          <w:color w:val="333333"/>
          <w:lang w:val="en-US"/>
        </w:rPr>
        <w:t xml:space="preserve">Études en Sciences Sociales. In 2003, about 56% of the tertiary age </w:t>
      </w:r>
      <w:proofErr w:type="gramStart"/>
      <w:r w:rsidRPr="00C40532">
        <w:rPr>
          <w:color w:val="333333"/>
          <w:lang w:val="en-US"/>
        </w:rPr>
        <w:t>population were</w:t>
      </w:r>
      <w:proofErr w:type="gramEnd"/>
      <w:r w:rsidRPr="00C40532">
        <w:rPr>
          <w:color w:val="333333"/>
          <w:lang w:val="en-US"/>
        </w:rPr>
        <w:t xml:space="preserve"> enrolled in some type of higher education program; with 49% for men and 63% for women. The adult literacy rate has been estimated at about 98%.</w:t>
      </w:r>
    </w:p>
    <w:p w:rsidR="00472A60" w:rsidRPr="00C40532" w:rsidRDefault="00472A60" w:rsidP="00472A60">
      <w:pPr>
        <w:pStyle w:val="a6"/>
        <w:shd w:val="clear" w:color="auto" w:fill="FFFFFF"/>
        <w:spacing w:before="0" w:beforeAutospacing="0" w:after="0" w:afterAutospacing="0"/>
        <w:ind w:firstLine="567"/>
        <w:jc w:val="both"/>
        <w:rPr>
          <w:color w:val="333333"/>
          <w:lang w:val="en-US"/>
        </w:rPr>
      </w:pPr>
      <w:r w:rsidRPr="00C40532">
        <w:rPr>
          <w:color w:val="333333"/>
          <w:lang w:val="en-US"/>
        </w:rPr>
        <w:t>As of 2003, public expenditure on education was estimated at 5.6% of GDP, or 11.4% of total government expenditures.</w:t>
      </w:r>
    </w:p>
    <w:p w:rsidR="00472A60" w:rsidRPr="00C40532" w:rsidRDefault="00472A60" w:rsidP="00472A60">
      <w:pPr>
        <w:shd w:val="clear" w:color="auto" w:fill="FFFFFF"/>
        <w:spacing w:after="0" w:line="240" w:lineRule="auto"/>
        <w:ind w:right="22" w:firstLine="567"/>
        <w:jc w:val="both"/>
        <w:rPr>
          <w:rStyle w:val="hps"/>
          <w:rFonts w:ascii="Times New Roman" w:hAnsi="Times New Roman" w:cs="Times New Roman"/>
          <w:b/>
          <w:sz w:val="24"/>
          <w:szCs w:val="24"/>
          <w:lang w:val="en-US"/>
        </w:rPr>
      </w:pPr>
    </w:p>
    <w:p w:rsidR="00472A60" w:rsidRPr="00C40532" w:rsidRDefault="00472A60" w:rsidP="00472A60">
      <w:pPr>
        <w:shd w:val="clear" w:color="auto" w:fill="FFFFFF"/>
        <w:spacing w:after="0" w:line="240" w:lineRule="auto"/>
        <w:ind w:right="22" w:firstLine="567"/>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Specifics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tax system</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Characteristics of the main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types of taxes</w:t>
      </w:r>
      <w:r w:rsidRPr="00C40532">
        <w:rPr>
          <w:rFonts w:ascii="Times New Roman" w:hAnsi="Times New Roman" w:cs="Times New Roman"/>
          <w:b/>
          <w:sz w:val="24"/>
          <w:szCs w:val="24"/>
          <w:lang w:val="en-US"/>
        </w:rPr>
        <w:t>.</w:t>
      </w:r>
      <w:proofErr w:type="gramEnd"/>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As with most industrialized democratic systems, France's tax system is complex and nuanced, though also subject to recent movements to reductions and simplifications. The basic corporate income tax rate for filings in 2006 was 33.33%, with a social surcharge of 3.3% that is applied when the global corporate income tax charge is over €763,000. A 1.5% surcharge for 2005 was abolished for fiscal years ending on or after 1 January 2006. Long-term capital gains by firms were taxed at a basic rate of 15%, plus surcharges. However, starting in 2006, the tax rate on long-term gains from qualified shareholdings received by companies will drop to 8%. Short-term capital gains are taxed according to the progressive individual income tax schedule. The main local tax is the business tax, charged on 84% of a value derived from the rental value of the premises, 16% of the value fixed assets, and 18% of annual payroll, and at rates set by local authorities each year. The business tax (taxe professionelle) varies significantly from place to place, with a range of 0–4%.</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Individual income tax in France is assessed in accordance with a progressive schedule of statutory rates up to 48.09%. However, French tax law contains many provisions for exemptions and targeted reductions from taxable income, so that the actual income tax paid is highly individualized. Taxable capital gains for individuals include the sale of immovable property, securities and land (excluding bonds or the individual's primary residence). Gains that exceed the annual exemption are subject to a 27% tax rate. Past the fifth year, the capital gain is reduced by 10% per each year of ownership. Exempt are capital gains on the sale of the principal residence. If the sale of securities exceeds €15,000, the gains are taxed at a 27% rate.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main indirect tax is the value-added tax (VAT) first introduced in January 1968. The standard rate in 2005 was 19.6%, with a 5.5% on most foodstuffs and agricultural products, medicines, hotel rooms, books, water and newspapers. A 2.1% rate applies to certain medicines that </w:t>
      </w:r>
      <w:r w:rsidRPr="00C40532">
        <w:rPr>
          <w:rFonts w:ascii="Times New Roman" w:hAnsi="Times New Roman" w:cs="Times New Roman"/>
          <w:sz w:val="24"/>
          <w:szCs w:val="24"/>
          <w:lang w:val="en-US"/>
        </w:rPr>
        <w:lastRenderedPageBreak/>
        <w:t>are reimbursed by the social security system. Nonindustrial businesses that do not pay the VAT on consumption (banks, insurance companies, the medical sector, associations, nonprofit organizations, etc.) pay a wage tax to cover social levies assessed according to a progressive schedule. Generally, social security contributions by employers range from range from approximately 35–45%, with the employee responsible for 18–23%. Inheritance taxes (succession duties) range from 5–60%, as do gift (donations) taxes. There is also a patrimonial tax of 3% on the fair market value of property owned in France, although foreign companies whose French financial assets are more than 50% are exempt. Also, foreign property holders may be exempt according to the terms of a bilateral tax treaty with France. (France is party to a numerous bilateral tax treaties with provisions that can greatly reduce tax liabilities for foreign investors.) Local taxes include a property tax, charged to owners of land and buildings, and a housing tax, charged to occupants of residential premises, assessed according to the rental value of the property. The social security system is operated separately from the general tax system, financed by contributions levied on earned income in accordance with four regimes: a general regime covering 80% of French citizens, a regime for agricultural workers, a special regime for civil servants and railway workers, and a regime for the self-employed. Tax levies have been used, however, to shore up the finances in the social security system.</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shd w:val="clear" w:color="auto" w:fill="FFFFFF"/>
          <w:lang w:val="en-US"/>
        </w:rPr>
        <w:t>There are many taxes in France. They can be classified according to the institution which collects and benefit from them and to the people who pay them. Taxes are monetary benefits imposed on people according to their capacities and without return of benefit, for the purpose of public expenditure to achieve economic and social goals set by the government. As for</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"https://en.wikipedia.org/wiki/Tariffs" \o "Tariffs"</w:instrText>
      </w:r>
      <w:r w:rsidR="00AA3725">
        <w:fldChar w:fldCharType="separate"/>
      </w:r>
      <w:r w:rsidRPr="00C40532">
        <w:rPr>
          <w:rStyle w:val="a5"/>
          <w:rFonts w:ascii="Times New Roman" w:hAnsi="Times New Roman" w:cs="Times New Roman"/>
          <w:sz w:val="24"/>
          <w:szCs w:val="24"/>
          <w:shd w:val="clear" w:color="auto" w:fill="FFFFFF"/>
          <w:lang w:val="en-US"/>
        </w:rPr>
        <w:t>tariffs</w:t>
      </w:r>
      <w:r w:rsidR="00AA3725">
        <w:fldChar w:fldCharType="end"/>
      </w:r>
      <w:r w:rsidRPr="00C40532">
        <w:rPr>
          <w:rFonts w:ascii="Times New Roman" w:hAnsi="Times New Roman" w:cs="Times New Roman"/>
          <w:sz w:val="24"/>
          <w:szCs w:val="24"/>
          <w:shd w:val="clear" w:color="auto" w:fill="FFFFFF"/>
          <w:lang w:val="en-US"/>
        </w:rPr>
        <w:t>, they are different from taxes because of their strictly economic aspect; their purpose is to protect the</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"https://en.wikipedia.org/wiki/Domestic_market" \o "Domestic market"</w:instrText>
      </w:r>
      <w:r w:rsidR="00AA3725">
        <w:fldChar w:fldCharType="separate"/>
      </w:r>
      <w:r w:rsidRPr="00C40532">
        <w:rPr>
          <w:rStyle w:val="a5"/>
          <w:rFonts w:ascii="Times New Roman" w:hAnsi="Times New Roman" w:cs="Times New Roman"/>
          <w:sz w:val="24"/>
          <w:szCs w:val="24"/>
          <w:shd w:val="clear" w:color="auto" w:fill="FFFFFF"/>
          <w:lang w:val="en-US"/>
        </w:rPr>
        <w:t>domestic market</w:t>
      </w:r>
      <w:r w:rsidR="00AA3725">
        <w:fldChar w:fldCharType="end"/>
      </w:r>
      <w:r w:rsidRPr="00C40532">
        <w:rPr>
          <w:rFonts w:ascii="Times New Roman" w:hAnsi="Times New Roman" w:cs="Times New Roman"/>
          <w:sz w:val="24"/>
          <w:szCs w:val="24"/>
          <w:shd w:val="clear" w:color="auto" w:fill="FFFFFF"/>
          <w:lang w:val="en-US"/>
        </w:rPr>
        <w:t>. However, some charges levied by the customs administration are taxes: the</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"https://en.wikipedia.org/wiki/Value_added_tax" \o "Value added tax"</w:instrText>
      </w:r>
      <w:r w:rsidR="00AA3725">
        <w:fldChar w:fldCharType="separate"/>
      </w:r>
      <w:r w:rsidRPr="00C40532">
        <w:rPr>
          <w:rStyle w:val="a5"/>
          <w:rFonts w:ascii="Times New Roman" w:hAnsi="Times New Roman" w:cs="Times New Roman"/>
          <w:sz w:val="24"/>
          <w:szCs w:val="24"/>
          <w:shd w:val="clear" w:color="auto" w:fill="FFFFFF"/>
          <w:lang w:val="en-US"/>
        </w:rPr>
        <w:t>value added tax</w:t>
      </w:r>
      <w:r w:rsidR="00AA3725">
        <w:fldChar w:fldCharType="end"/>
      </w:r>
      <w:r w:rsidRPr="00C40532">
        <w:rPr>
          <w:rStyle w:val="apple-converted-space"/>
          <w:rFonts w:ascii="Times New Roman" w:hAnsi="Times New Roman" w:cs="Times New Roman"/>
          <w:sz w:val="24"/>
          <w:szCs w:val="24"/>
          <w:shd w:val="clear" w:color="auto" w:fill="FFFFFF"/>
          <w:lang w:val="en-US"/>
        </w:rPr>
        <w:t> </w:t>
      </w:r>
      <w:r w:rsidRPr="00C40532">
        <w:rPr>
          <w:rFonts w:ascii="Times New Roman" w:hAnsi="Times New Roman" w:cs="Times New Roman"/>
          <w:sz w:val="24"/>
          <w:szCs w:val="24"/>
          <w:shd w:val="clear" w:color="auto" w:fill="FFFFFF"/>
          <w:lang w:val="en-US"/>
        </w:rPr>
        <w:t>levied on goods from non-members of the</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"https://en.wikipedia.org/wiki/European_Union" \o "European Union"</w:instrText>
      </w:r>
      <w:r w:rsidR="00AA3725">
        <w:fldChar w:fldCharType="separate"/>
      </w:r>
      <w:r w:rsidRPr="00C40532">
        <w:rPr>
          <w:rStyle w:val="a5"/>
          <w:rFonts w:ascii="Times New Roman" w:hAnsi="Times New Roman" w:cs="Times New Roman"/>
          <w:sz w:val="24"/>
          <w:szCs w:val="24"/>
          <w:shd w:val="clear" w:color="auto" w:fill="FFFFFF"/>
          <w:lang w:val="en-US"/>
        </w:rPr>
        <w:t>European Union</w:t>
      </w:r>
      <w:r w:rsidR="00AA3725">
        <w:fldChar w:fldCharType="end"/>
      </w:r>
      <w:r w:rsidRPr="00C40532">
        <w:rPr>
          <w:rFonts w:ascii="Times New Roman" w:hAnsi="Times New Roman" w:cs="Times New Roman"/>
          <w:sz w:val="24"/>
          <w:szCs w:val="24"/>
          <w:shd w:val="clear" w:color="auto" w:fill="FFFFFF"/>
          <w:lang w:val="en-US"/>
        </w:rPr>
        <w:t>, the tax on petroleum products, which applies regardless of the origin of products, and other taxes. Finally, although they are compulsory,</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"https://en.wikipedia.org/wiki/Payroll_tax" \o "Payroll tax"</w:instrText>
      </w:r>
      <w:r w:rsidR="00AA3725">
        <w:fldChar w:fldCharType="separate"/>
      </w:r>
      <w:r w:rsidRPr="00C40532">
        <w:rPr>
          <w:rStyle w:val="a5"/>
          <w:rFonts w:ascii="Times New Roman" w:hAnsi="Times New Roman" w:cs="Times New Roman"/>
          <w:sz w:val="24"/>
          <w:szCs w:val="24"/>
          <w:shd w:val="clear" w:color="auto" w:fill="FFFFFF"/>
          <w:lang w:val="en-US"/>
        </w:rPr>
        <w:t>social security contributions</w:t>
      </w:r>
      <w:r w:rsidR="00AA3725">
        <w:fldChar w:fldCharType="end"/>
      </w:r>
      <w:r w:rsidRPr="00C40532">
        <w:rPr>
          <w:rStyle w:val="apple-converted-space"/>
          <w:rFonts w:ascii="Times New Roman" w:hAnsi="Times New Roman" w:cs="Times New Roman"/>
          <w:sz w:val="24"/>
          <w:szCs w:val="24"/>
          <w:shd w:val="clear" w:color="auto" w:fill="FFFFFF"/>
          <w:lang w:val="en-US"/>
        </w:rPr>
        <w:t> </w:t>
      </w:r>
      <w:r w:rsidRPr="00C40532">
        <w:rPr>
          <w:rFonts w:ascii="Times New Roman" w:hAnsi="Times New Roman" w:cs="Times New Roman"/>
          <w:sz w:val="24"/>
          <w:szCs w:val="24"/>
          <w:shd w:val="clear" w:color="auto" w:fill="FFFFFF"/>
          <w:lang w:val="en-US"/>
        </w:rPr>
        <w:t>are not taxes as they are collected for one purpose –</w:t>
      </w:r>
      <w:r w:rsidRPr="00C40532">
        <w:rPr>
          <w:rStyle w:val="apple-converted-space"/>
          <w:rFonts w:ascii="Times New Roman" w:hAnsi="Times New Roman" w:cs="Times New Roman"/>
          <w:sz w:val="24"/>
          <w:szCs w:val="24"/>
          <w:shd w:val="clear" w:color="auto" w:fill="FFFFFF"/>
          <w:lang w:val="en-US"/>
        </w:rPr>
        <w:t> </w:t>
      </w:r>
      <w:r w:rsidR="00AA3725">
        <w:fldChar w:fldCharType="begin"/>
      </w:r>
      <w:r w:rsidR="00AA3725" w:rsidRPr="003E0431">
        <w:rPr>
          <w:lang w:val="en-US"/>
        </w:rPr>
        <w:instrText>HYPERLINK "https://en.wikipedia.org/wiki/Welfare_State" \o "Welfare State"</w:instrText>
      </w:r>
      <w:r w:rsidR="00AA3725">
        <w:fldChar w:fldCharType="separate"/>
      </w:r>
      <w:r w:rsidRPr="00C40532">
        <w:rPr>
          <w:rStyle w:val="a5"/>
          <w:rFonts w:ascii="Times New Roman" w:hAnsi="Times New Roman" w:cs="Times New Roman"/>
          <w:sz w:val="24"/>
          <w:szCs w:val="24"/>
          <w:shd w:val="clear" w:color="auto" w:fill="FFFFFF"/>
          <w:lang w:val="en-US"/>
        </w:rPr>
        <w:t>social protection</w:t>
      </w:r>
      <w:r w:rsidR="00AA3725">
        <w:fldChar w:fldCharType="end"/>
      </w:r>
      <w:r w:rsidRPr="00C40532">
        <w:rPr>
          <w:rStyle w:val="apple-converted-space"/>
          <w:rFonts w:ascii="Times New Roman" w:hAnsi="Times New Roman" w:cs="Times New Roman"/>
          <w:sz w:val="24"/>
          <w:szCs w:val="24"/>
          <w:shd w:val="clear" w:color="auto" w:fill="FFFFFF"/>
          <w:lang w:val="en-US"/>
        </w:rPr>
        <w:t> </w:t>
      </w:r>
      <w:r w:rsidRPr="00C40532">
        <w:rPr>
          <w:rFonts w:ascii="Times New Roman" w:hAnsi="Times New Roman" w:cs="Times New Roman"/>
          <w:sz w:val="24"/>
          <w:szCs w:val="24"/>
          <w:shd w:val="clear" w:color="auto" w:fill="FFFFFF"/>
          <w:lang w:val="en-US"/>
        </w:rPr>
        <w:t>– and as the taxpayers might benefit from these expenses. Some other taxes, based on personal income, are allocated to social agencies and do not give taxpayers the right to benefit from them.</w:t>
      </w:r>
      <w:r w:rsidRPr="00C40532">
        <w:rPr>
          <w:rFonts w:ascii="Times New Roman" w:hAnsi="Times New Roman" w:cs="Times New Roman"/>
          <w:sz w:val="24"/>
          <w:szCs w:val="24"/>
          <w:lang w:val="en-US"/>
        </w:rPr>
        <w:t xml:space="preserve"> </w:t>
      </w:r>
    </w:p>
    <w:p w:rsidR="00472A60" w:rsidRPr="00C40532" w:rsidRDefault="00472A60" w:rsidP="00472A60">
      <w:pPr>
        <w:shd w:val="clear" w:color="auto" w:fill="FFFFFF"/>
        <w:spacing w:after="0" w:line="240" w:lineRule="auto"/>
        <w:ind w:firstLine="384"/>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Taxes generally fall into the following broad categories:</w:t>
      </w:r>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hyperlink r:id="rId36" w:tooltip="Income tax" w:history="1">
        <w:r w:rsidR="00472A60" w:rsidRPr="00C40532">
          <w:rPr>
            <w:rFonts w:ascii="Times New Roman" w:hAnsi="Times New Roman" w:cs="Times New Roman"/>
            <w:sz w:val="24"/>
            <w:szCs w:val="24"/>
          </w:rPr>
          <w:t>Income tax</w:t>
        </w:r>
      </w:hyperlink>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hyperlink r:id="rId37" w:tooltip="Payroll tax" w:history="1">
        <w:r w:rsidR="00472A60" w:rsidRPr="00C40532">
          <w:rPr>
            <w:rFonts w:ascii="Times New Roman" w:hAnsi="Times New Roman" w:cs="Times New Roman"/>
            <w:sz w:val="24"/>
            <w:szCs w:val="24"/>
          </w:rPr>
          <w:t>Payroll tax</w:t>
        </w:r>
      </w:hyperlink>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hyperlink r:id="rId38" w:tooltip="Property tax" w:history="1">
        <w:r w:rsidR="00472A60" w:rsidRPr="00C40532">
          <w:rPr>
            <w:rFonts w:ascii="Times New Roman" w:hAnsi="Times New Roman" w:cs="Times New Roman"/>
            <w:sz w:val="24"/>
            <w:szCs w:val="24"/>
          </w:rPr>
          <w:t>Property tax</w:t>
        </w:r>
      </w:hyperlink>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hyperlink r:id="rId39" w:tooltip="Consumption tax" w:history="1">
        <w:r w:rsidR="00472A60" w:rsidRPr="00C40532">
          <w:rPr>
            <w:rFonts w:ascii="Times New Roman" w:hAnsi="Times New Roman" w:cs="Times New Roman"/>
            <w:sz w:val="24"/>
            <w:szCs w:val="24"/>
          </w:rPr>
          <w:t>Consumption tax</w:t>
        </w:r>
      </w:hyperlink>
    </w:p>
    <w:p w:rsidR="00472A60" w:rsidRPr="00C40532" w:rsidRDefault="00AA3725"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lang w:val="en-US"/>
        </w:rPr>
      </w:pPr>
      <w:r>
        <w:fldChar w:fldCharType="begin"/>
      </w:r>
      <w:r w:rsidRPr="003E0431">
        <w:rPr>
          <w:lang w:val="en-US"/>
        </w:rPr>
        <w:instrText>HYPERLINK "https://en.wikipedia.org/wiki/Tariff" \o "Tariff"</w:instrText>
      </w:r>
      <w:r>
        <w:fldChar w:fldCharType="separate"/>
      </w:r>
      <w:r w:rsidR="00472A60" w:rsidRPr="00C40532">
        <w:rPr>
          <w:rFonts w:ascii="Times New Roman" w:hAnsi="Times New Roman" w:cs="Times New Roman"/>
          <w:sz w:val="24"/>
          <w:szCs w:val="24"/>
          <w:lang w:val="en-US"/>
        </w:rPr>
        <w:t>Tariff</w:t>
      </w:r>
      <w:r>
        <w:fldChar w:fldCharType="end"/>
      </w:r>
      <w:r w:rsidR="00472A60" w:rsidRPr="00C40532">
        <w:rPr>
          <w:rFonts w:ascii="Times New Roman" w:hAnsi="Times New Roman" w:cs="Times New Roman"/>
          <w:sz w:val="24"/>
          <w:szCs w:val="24"/>
          <w:lang w:val="en-US"/>
        </w:rPr>
        <w:t> (taxes on international trade)</w:t>
      </w:r>
    </w:p>
    <w:p w:rsidR="00472A60" w:rsidRPr="00C40532" w:rsidRDefault="00472A60"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Capitation, a fixed tax charged per person</w:t>
      </w:r>
    </w:p>
    <w:p w:rsidR="00472A60" w:rsidRPr="00C40532" w:rsidRDefault="00472A60"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rPr>
      </w:pPr>
      <w:r w:rsidRPr="00C40532">
        <w:rPr>
          <w:rFonts w:ascii="Times New Roman" w:hAnsi="Times New Roman" w:cs="Times New Roman"/>
          <w:sz w:val="24"/>
          <w:szCs w:val="24"/>
        </w:rPr>
        <w:t>Fees and tolls</w:t>
      </w:r>
    </w:p>
    <w:p w:rsidR="00472A60" w:rsidRPr="00C40532" w:rsidRDefault="00472A60" w:rsidP="00472A60">
      <w:pPr>
        <w:numPr>
          <w:ilvl w:val="0"/>
          <w:numId w:val="20"/>
        </w:numPr>
        <w:shd w:val="clear" w:color="auto" w:fill="FFFFFF"/>
        <w:spacing w:after="0" w:line="240" w:lineRule="auto"/>
        <w:ind w:left="384" w:firstLine="42"/>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Effective taxes, government policies that aren't explicitly taxes, but result in income to the government through losses to the public</w:t>
      </w:r>
    </w:p>
    <w:p w:rsidR="00472A60" w:rsidRPr="00C40532" w:rsidRDefault="00472A60" w:rsidP="00472A60">
      <w:pPr>
        <w:shd w:val="clear" w:color="auto" w:fill="FFFFFF"/>
        <w:spacing w:after="0" w:line="240" w:lineRule="auto"/>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right="22" w:firstLine="384"/>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6.</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Problems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functioning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French</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public finances and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problems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at the present stage</w:t>
      </w:r>
    </w:p>
    <w:p w:rsidR="00472A60" w:rsidRPr="00C40532" w:rsidRDefault="00472A60" w:rsidP="00472A60">
      <w:pPr>
        <w:shd w:val="clear" w:color="auto" w:fill="FFFFFF"/>
        <w:spacing w:after="0" w:line="240" w:lineRule="auto"/>
        <w:ind w:firstLine="384"/>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fiscal year runs from 1 January to 31 December. Deficits have been commonplace, but in recent years, efforts have been made to cut back on the growth of taxes and government spending and, since 1986, to remove major state enterprises from the expense of government ownership. Deficit reduction became a top priority of the government when France committed to the European Monetary Union (EMU). Maastricht Treaty targets for the EMU required France to reduce the government's budget deficit to 3% of GDP by 1997. The government still maintains a fairly tight </w:t>
      </w:r>
      <w:r w:rsidRPr="00C40532">
        <w:rPr>
          <w:rFonts w:ascii="Times New Roman" w:hAnsi="Times New Roman" w:cs="Times New Roman"/>
          <w:sz w:val="24"/>
          <w:szCs w:val="24"/>
          <w:lang w:val="en-US"/>
        </w:rPr>
        <w:lastRenderedPageBreak/>
        <w:t>hold on myriad enterprises, ranging from energy to financial services to industry; government spending accounted for 52% of GDP in 2001.</w:t>
      </w:r>
    </w:p>
    <w:p w:rsidR="00472A60" w:rsidRPr="00C40532" w:rsidRDefault="00472A60" w:rsidP="00472A60">
      <w:pPr>
        <w:shd w:val="clear" w:color="auto" w:fill="FFFFFF"/>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lang w:val="en-US"/>
        </w:rPr>
        <w:t xml:space="preserve">The US Central Intelligence Agency (CIA) estimated that in 2005 France's central government took in revenues of approximately $1.06 trillion and had expenditures of $1.1 trillion. </w:t>
      </w:r>
      <w:r w:rsidRPr="00C40532">
        <w:rPr>
          <w:rFonts w:ascii="Times New Roman" w:hAnsi="Times New Roman" w:cs="Times New Roman"/>
          <w:sz w:val="24"/>
          <w:szCs w:val="24"/>
        </w:rPr>
        <w:t>Revenues minus expenditures totaled approximately -$84 billion. Public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3713"/>
        <w:gridCol w:w="780"/>
        <w:gridCol w:w="900"/>
      </w:tblGrid>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Revenue and Grants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674.87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100.0%</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Tax revenue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351.19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52.0%</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Social contributions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277.86</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41.2%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Grants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4.36</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0.6%</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Other revenue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41.46</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6.1%</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Expenditures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727.39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b/>
                <w:bCs/>
                <w:sz w:val="24"/>
                <w:szCs w:val="24"/>
              </w:rPr>
              <w:t>…</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General public services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110.77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15.2%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Defense</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37.51</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Public order and safety</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12.29</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1.7%</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Economic affairs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67.27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Environmental protection</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1.47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0.2%</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Housing and community amenities</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6.04</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0.8%</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Health</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Recreational, culture, and religion</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5.41</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0.7%</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Education</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70.97</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9.8%</w:t>
            </w:r>
          </w:p>
        </w:tc>
      </w:tr>
      <w:tr w:rsidR="00472A60" w:rsidRPr="00C40532" w:rsidTr="000A0C98">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    Social protection</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w:t>
            </w:r>
          </w:p>
        </w:tc>
        <w:tc>
          <w:tcPr>
            <w:tcW w:w="0" w:type="auto"/>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w:t>
            </w:r>
          </w:p>
        </w:tc>
      </w:tr>
      <w:tr w:rsidR="00472A60" w:rsidRPr="003E0431" w:rsidTr="000A0C98">
        <w:tc>
          <w:tcPr>
            <w:tcW w:w="0" w:type="auto"/>
            <w:gridSpan w:val="3"/>
            <w:shd w:val="clear" w:color="auto" w:fill="FFFFFF"/>
            <w:tcMar>
              <w:top w:w="60" w:type="dxa"/>
              <w:left w:w="60" w:type="dxa"/>
              <w:bottom w:w="60" w:type="dxa"/>
              <w:right w:w="60" w:type="dxa"/>
            </w:tcMar>
            <w:vAlign w:val="center"/>
            <w:hideMark/>
          </w:tcPr>
          <w:p w:rsidR="00472A60" w:rsidRPr="00C40532" w:rsidRDefault="00472A60" w:rsidP="000A0C98">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data not available or not significant.</w:t>
            </w:r>
          </w:p>
        </w:tc>
      </w:tr>
    </w:tbl>
    <w:p w:rsidR="00472A60" w:rsidRPr="00C40532" w:rsidRDefault="00472A60" w:rsidP="00472A60">
      <w:pPr>
        <w:shd w:val="clear" w:color="auto" w:fill="FFFFFF"/>
        <w:spacing w:after="0" w:line="240" w:lineRule="auto"/>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Debt in 2005 amounted to 66.5% of GDP. Total external debt was $2.826 trillion.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International Monetary Fund (IMF) reported that in 2002, the most recent year for which it had data, central government revenues were €674.87 billion and expenditures were €727.39 billion. The value of revenues was us$635 million and expenditures us$292 million, based on a market exchange rate for 2002 of us$1= €1.0626 as reported by the IMF. Government outlays by function were as follows: general public services, 15.2%; defense, 5.2%; public order and safety, 1.7%; economic affairs, 9.2%; environmental protection, 0.2%; housing and community amenities, 0.8%; recreation, culture, and religion, 0.7%; and education, 9.8%.</w:t>
      </w:r>
    </w:p>
    <w:p w:rsidR="00472A60" w:rsidRPr="00C40532" w:rsidRDefault="00472A60" w:rsidP="00472A60">
      <w:pPr>
        <w:tabs>
          <w:tab w:val="left" w:pos="895"/>
        </w:tabs>
        <w:spacing w:after="0" w:line="240" w:lineRule="auto"/>
        <w:jc w:val="both"/>
        <w:rPr>
          <w:rFonts w:ascii="Times New Roman" w:hAnsi="Times New Roman" w:cs="Times New Roman"/>
          <w:sz w:val="24"/>
          <w:szCs w:val="24"/>
          <w:lang w:val="en-US"/>
        </w:rPr>
      </w:pPr>
    </w:p>
    <w:p w:rsidR="00472A60" w:rsidRPr="00C40532" w:rsidRDefault="00472A60" w:rsidP="00472A60">
      <w:pPr>
        <w:tabs>
          <w:tab w:val="left" w:pos="1573"/>
        </w:tabs>
        <w:spacing w:after="0" w:line="240" w:lineRule="auto"/>
        <w:rPr>
          <w:rFonts w:ascii="Times New Roman" w:hAnsi="Times New Roman" w:cs="Times New Roman"/>
          <w:sz w:val="24"/>
          <w:szCs w:val="24"/>
          <w:lang w:val="en-US"/>
        </w:rPr>
      </w:pPr>
      <w:r w:rsidRPr="00C40532">
        <w:rPr>
          <w:rFonts w:ascii="Times New Roman" w:hAnsi="Times New Roman" w:cs="Times New Roman"/>
          <w:sz w:val="24"/>
          <w:szCs w:val="24"/>
          <w:lang w:val="en-US"/>
        </w:rPr>
        <w:tab/>
        <w:t>Control questions:</w:t>
      </w:r>
    </w:p>
    <w:p w:rsidR="00472A60" w:rsidRPr="00C40532" w:rsidRDefault="00472A60" w:rsidP="00472A60">
      <w:pPr>
        <w:pStyle w:val="a4"/>
        <w:numPr>
          <w:ilvl w:val="0"/>
          <w:numId w:val="21"/>
        </w:numPr>
        <w:shd w:val="clear" w:color="auto" w:fill="FFFFFF"/>
        <w:tabs>
          <w:tab w:val="left" w:pos="180"/>
        </w:tabs>
        <w:spacing w:after="0" w:line="240" w:lineRule="auto"/>
        <w:ind w:left="0" w:firstLine="0"/>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E</w:t>
      </w:r>
      <w:r w:rsidRPr="00C40532">
        <w:rPr>
          <w:rStyle w:val="hps"/>
          <w:rFonts w:ascii="Times New Roman" w:hAnsi="Times New Roman" w:cs="Times New Roman"/>
          <w:sz w:val="24"/>
          <w:szCs w:val="24"/>
          <w:lang w:val="en-US"/>
        </w:rPr>
        <w:t>conomic development of France</w:t>
      </w:r>
    </w:p>
    <w:p w:rsidR="00472A60" w:rsidRPr="00C40532" w:rsidRDefault="00472A60" w:rsidP="00472A60">
      <w:pPr>
        <w:shd w:val="clear" w:color="auto" w:fill="FFFFFF"/>
        <w:tabs>
          <w:tab w:val="left" w:pos="180"/>
        </w:tabs>
        <w:spacing w:after="0" w:line="240" w:lineRule="auto"/>
        <w:jc w:val="both"/>
        <w:rPr>
          <w:rFonts w:ascii="Times New Roman" w:hAnsi="Times New Roman" w:cs="Times New Roman"/>
          <w:spacing w:val="-9"/>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Income and expenses of the state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budget</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France</w:t>
      </w:r>
      <w:r w:rsidRPr="00C40532">
        <w:rPr>
          <w:rFonts w:ascii="Times New Roman" w:hAnsi="Times New Roman" w:cs="Times New Roman"/>
          <w:sz w:val="24"/>
          <w:szCs w:val="24"/>
          <w:lang w:val="en-US"/>
        </w:rPr>
        <w:t xml:space="preserve">. </w:t>
      </w:r>
    </w:p>
    <w:p w:rsidR="00472A60" w:rsidRPr="00C40532" w:rsidRDefault="00472A60" w:rsidP="00472A60">
      <w:pPr>
        <w:shd w:val="clear" w:color="auto" w:fill="FFFFFF"/>
        <w:spacing w:after="0" w:line="240" w:lineRule="auto"/>
        <w:ind w:right="22"/>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3.</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Development of social infrastructure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France</w:t>
      </w:r>
    </w:p>
    <w:p w:rsidR="00472A60" w:rsidRPr="00C40532" w:rsidRDefault="00472A60" w:rsidP="00472A60">
      <w:pPr>
        <w:shd w:val="clear" w:color="auto" w:fill="FFFFFF"/>
        <w:spacing w:after="0" w:line="240" w:lineRule="auto"/>
        <w:ind w:right="22"/>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4.</w:t>
      </w:r>
      <w:r w:rsidRPr="00C40532">
        <w:rPr>
          <w:rFonts w:ascii="Times New Roman" w:hAnsi="Times New Roman" w:cs="Times New Roman"/>
          <w:sz w:val="24"/>
          <w:szCs w:val="24"/>
          <w:lang w:val="en-US"/>
        </w:rPr>
        <w:t xml:space="preserve"> T</w:t>
      </w:r>
      <w:r w:rsidRPr="00C40532">
        <w:rPr>
          <w:rStyle w:val="hps"/>
          <w:rFonts w:ascii="Times New Roman" w:hAnsi="Times New Roman" w:cs="Times New Roman"/>
          <w:sz w:val="24"/>
          <w:szCs w:val="24"/>
          <w:lang w:val="en-US"/>
        </w:rPr>
        <w:t>he main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types of taxes in France</w:t>
      </w:r>
      <w:r w:rsidRPr="00C40532">
        <w:rPr>
          <w:rFonts w:ascii="Times New Roman" w:hAnsi="Times New Roman" w:cs="Times New Roman"/>
          <w:sz w:val="24"/>
          <w:szCs w:val="24"/>
          <w:lang w:val="en-US"/>
        </w:rPr>
        <w:t>.</w:t>
      </w:r>
    </w:p>
    <w:p w:rsidR="00472A60" w:rsidRPr="00C40532" w:rsidRDefault="00472A60" w:rsidP="00472A60">
      <w:pPr>
        <w:shd w:val="clear" w:color="auto" w:fill="FFFFFF"/>
        <w:spacing w:after="0" w:line="240" w:lineRule="auto"/>
        <w:ind w:right="22"/>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Problems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functioning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French</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financial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at the present stage</w:t>
      </w:r>
    </w:p>
    <w:p w:rsidR="00472A60" w:rsidRPr="00C40532" w:rsidRDefault="00472A60" w:rsidP="00472A60">
      <w:pPr>
        <w:tabs>
          <w:tab w:val="left" w:pos="1573"/>
        </w:tabs>
        <w:spacing w:after="0" w:line="240" w:lineRule="auto"/>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0A0C98" w:rsidRDefault="00472A60" w:rsidP="00472A60">
      <w:pPr>
        <w:shd w:val="clear" w:color="auto" w:fill="FFFFFF"/>
        <w:tabs>
          <w:tab w:val="left" w:pos="567"/>
        </w:tabs>
        <w:spacing w:after="0" w:line="240" w:lineRule="auto"/>
        <w:ind w:firstLine="567"/>
        <w:jc w:val="both"/>
        <w:rPr>
          <w:rStyle w:val="hps"/>
          <w:rFonts w:ascii="Times New Roman" w:hAnsi="Times New Roman" w:cs="Times New Roman"/>
          <w:b/>
          <w:sz w:val="24"/>
          <w:szCs w:val="24"/>
          <w:lang w:val="en-US"/>
        </w:rPr>
      </w:pPr>
      <w:proofErr w:type="gramStart"/>
      <w:r w:rsidRPr="000A0C98">
        <w:rPr>
          <w:rStyle w:val="hps"/>
          <w:rFonts w:ascii="Times New Roman" w:hAnsi="Times New Roman" w:cs="Times New Roman"/>
          <w:b/>
          <w:sz w:val="24"/>
          <w:szCs w:val="24"/>
          <w:lang w:val="en-US"/>
        </w:rPr>
        <w:lastRenderedPageBreak/>
        <w:t>Theme</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10.</w:t>
      </w:r>
      <w:proofErr w:type="gramEnd"/>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The organization</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the financial system</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the People's</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Republic</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China</w:t>
      </w:r>
    </w:p>
    <w:p w:rsidR="000A0C98" w:rsidRPr="00DF3344" w:rsidRDefault="000A0C98" w:rsidP="00472A60">
      <w:pPr>
        <w:shd w:val="clear" w:color="auto" w:fill="FFFFFF"/>
        <w:tabs>
          <w:tab w:val="left" w:pos="567"/>
        </w:tabs>
        <w:spacing w:after="0" w:line="240" w:lineRule="auto"/>
        <w:ind w:firstLine="567"/>
        <w:jc w:val="both"/>
        <w:rPr>
          <w:rStyle w:val="hps"/>
          <w:rFonts w:ascii="Times New Roman" w:hAnsi="Times New Roman" w:cs="Times New Roman"/>
          <w:sz w:val="24"/>
          <w:szCs w:val="24"/>
          <w:lang w:val="en-US"/>
        </w:rPr>
      </w:pPr>
    </w:p>
    <w:p w:rsidR="00472A60" w:rsidRPr="00C40532" w:rsidRDefault="00472A60" w:rsidP="00472A60">
      <w:pPr>
        <w:shd w:val="clear" w:color="auto" w:fill="FFFFFF"/>
        <w:tabs>
          <w:tab w:val="left" w:pos="567"/>
        </w:tabs>
        <w:spacing w:after="0" w:line="240" w:lineRule="auto"/>
        <w:ind w:firstLine="567"/>
        <w:jc w:val="both"/>
        <w:rPr>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Lecture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19</w:t>
      </w:r>
      <w:r w:rsidRPr="00C40532">
        <w:rPr>
          <w:rFonts w:ascii="Times New Roman" w:hAnsi="Times New Roman" w:cs="Times New Roman"/>
          <w:sz w:val="24"/>
          <w:szCs w:val="24"/>
          <w:lang w:val="en-US"/>
        </w:rPr>
        <w:t>.</w:t>
      </w:r>
      <w:proofErr w:type="gramEnd"/>
    </w:p>
    <w:p w:rsidR="00472A60" w:rsidRPr="00C40532" w:rsidRDefault="00472A60" w:rsidP="00472A60">
      <w:pPr>
        <w:shd w:val="clear" w:color="auto" w:fill="FFFFFF"/>
        <w:tabs>
          <w:tab w:val="left" w:pos="567"/>
        </w:tabs>
        <w:spacing w:after="0" w:line="240" w:lineRule="auto"/>
        <w:ind w:firstLine="567"/>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1.</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content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factors of development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Chinese economy</w:t>
      </w:r>
      <w:r w:rsidRPr="00C40532">
        <w:rPr>
          <w:rFonts w:ascii="Times New Roman" w:hAnsi="Times New Roman" w:cs="Times New Roman"/>
          <w:sz w:val="24"/>
          <w:szCs w:val="24"/>
          <w:lang w:val="en-US"/>
        </w:rPr>
        <w:t>.</w:t>
      </w:r>
    </w:p>
    <w:p w:rsidR="00472A60" w:rsidRPr="00C40532" w:rsidRDefault="00472A60" w:rsidP="00472A60">
      <w:pPr>
        <w:shd w:val="clear" w:color="auto" w:fill="FFFFFF"/>
        <w:tabs>
          <w:tab w:val="left" w:pos="567"/>
        </w:tabs>
        <w:spacing w:after="0" w:line="240" w:lineRule="auto"/>
        <w:ind w:firstLine="567"/>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units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People's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Republic</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China</w:t>
      </w:r>
    </w:p>
    <w:p w:rsidR="00472A60" w:rsidRPr="00C40532" w:rsidRDefault="00472A60" w:rsidP="00472A60">
      <w:pPr>
        <w:spacing w:after="0" w:line="240" w:lineRule="auto"/>
        <w:ind w:firstLine="567"/>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3.</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budget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budgetary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China.</w:t>
      </w:r>
    </w:p>
    <w:p w:rsidR="00472A60" w:rsidRPr="00C40532" w:rsidRDefault="00472A60" w:rsidP="00472A60">
      <w:pPr>
        <w:tabs>
          <w:tab w:val="left" w:pos="180"/>
        </w:tabs>
        <w:spacing w:after="0" w:line="240" w:lineRule="auto"/>
        <w:ind w:firstLine="567"/>
        <w:jc w:val="both"/>
        <w:rPr>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Lecture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20</w:t>
      </w:r>
      <w:r w:rsidRPr="00C40532">
        <w:rPr>
          <w:rFonts w:ascii="Times New Roman" w:hAnsi="Times New Roman" w:cs="Times New Roman"/>
          <w:sz w:val="24"/>
          <w:szCs w:val="24"/>
          <w:lang w:val="en-US"/>
        </w:rPr>
        <w:t>.</w:t>
      </w:r>
      <w:proofErr w:type="gramEnd"/>
    </w:p>
    <w:p w:rsidR="00472A60" w:rsidRPr="00C40532" w:rsidRDefault="00472A60" w:rsidP="00472A60">
      <w:pPr>
        <w:tabs>
          <w:tab w:val="left" w:pos="180"/>
        </w:tabs>
        <w:spacing w:after="0" w:line="240" w:lineRule="auto"/>
        <w:ind w:firstLine="567"/>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4.</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Revenues and expenditures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central</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budget</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China</w:t>
      </w:r>
      <w:r w:rsidRPr="00C40532">
        <w:rPr>
          <w:rFonts w:ascii="Times New Roman" w:hAnsi="Times New Roman" w:cs="Times New Roman"/>
          <w:sz w:val="24"/>
          <w:szCs w:val="24"/>
          <w:lang w:val="en-US"/>
        </w:rPr>
        <w:t>.</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Revenues and expenditures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local budgets</w:t>
      </w:r>
      <w:r w:rsidRPr="00C40532">
        <w:rPr>
          <w:rFonts w:ascii="Times New Roman" w:hAnsi="Times New Roman" w:cs="Times New Roman"/>
          <w:sz w:val="24"/>
          <w:szCs w:val="24"/>
          <w:lang w:val="en-US"/>
        </w:rPr>
        <w:t>.</w:t>
      </w: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6.</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Specifics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tax collection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the country.</w:t>
      </w:r>
      <w:r w:rsidRPr="00C40532">
        <w:rPr>
          <w:rFonts w:ascii="Times New Roman" w:hAnsi="Times New Roman" w:cs="Times New Roman"/>
          <w:sz w:val="24"/>
          <w:szCs w:val="24"/>
          <w:lang w:val="en-US"/>
        </w:rPr>
        <w:t xml:space="preserve"> </w:t>
      </w:r>
      <w:proofErr w:type="gramStart"/>
      <w:r w:rsidRPr="00C40532">
        <w:rPr>
          <w:rStyle w:val="hps"/>
          <w:rFonts w:ascii="Times New Roman" w:hAnsi="Times New Roman" w:cs="Times New Roman"/>
          <w:sz w:val="24"/>
          <w:szCs w:val="24"/>
          <w:lang w:val="en-US"/>
        </w:rPr>
        <w:t>State taxes</w:t>
      </w:r>
      <w:r w:rsidRPr="00C40532">
        <w:rPr>
          <w:rFonts w:ascii="Times New Roman" w:hAnsi="Times New Roman" w:cs="Times New Roman"/>
          <w:sz w:val="24"/>
          <w:szCs w:val="24"/>
          <w:lang w:val="en-US"/>
        </w:rPr>
        <w:t>.</w:t>
      </w:r>
      <w:proofErr w:type="gramEnd"/>
      <w:r w:rsidRPr="00C40532">
        <w:rPr>
          <w:rFonts w:ascii="Times New Roman" w:hAnsi="Times New Roman" w:cs="Times New Roman"/>
          <w:sz w:val="24"/>
          <w:szCs w:val="24"/>
          <w:lang w:val="en-US"/>
        </w:rPr>
        <w:t xml:space="preserve"> </w:t>
      </w:r>
      <w:proofErr w:type="gramStart"/>
      <w:r w:rsidRPr="00C40532">
        <w:rPr>
          <w:rStyle w:val="hps"/>
          <w:rFonts w:ascii="Times New Roman" w:hAnsi="Times New Roman" w:cs="Times New Roman"/>
          <w:sz w:val="24"/>
          <w:szCs w:val="24"/>
          <w:lang w:val="en-US"/>
        </w:rPr>
        <w:t>Taxes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local authorities.</w:t>
      </w:r>
      <w:proofErr w:type="gramEnd"/>
    </w:p>
    <w:p w:rsidR="00472A60" w:rsidRPr="00C40532" w:rsidRDefault="00472A60" w:rsidP="00472A60">
      <w:pPr>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tabs>
          <w:tab w:val="left" w:pos="567"/>
        </w:tabs>
        <w:spacing w:after="0" w:line="240" w:lineRule="auto"/>
        <w:ind w:firstLine="567"/>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1.</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content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factors of development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Chinese economy</w:t>
      </w:r>
      <w:r w:rsidRPr="00C40532">
        <w:rPr>
          <w:rFonts w:ascii="Times New Roman" w:hAnsi="Times New Roman" w:cs="Times New Roman"/>
          <w:b/>
          <w:sz w:val="24"/>
          <w:szCs w:val="24"/>
          <w:lang w:val="en-US"/>
        </w:rPr>
        <w: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The ongoing development of China's financial system will play a critical role in the country’s effort to narrow social disparities and pursue balanced growth. Reforming the financial system would increase the rate of GDP growth and help spread China’s new wealth more evenly. If the reforms directed additional funds to private companies — China's new growth engine — the economy would generate significantly higher returns for the same level of investment and GDP would rise. Such a shift will stimulate mass job creation in the strongest areas of China's economy and increase tax revenues to finance social programs.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After more than a quarter century of reform and opening to the outside world, by 2005 China’s economy had become the second largest in the world after the United States when measured on a</w:t>
      </w:r>
      <w:r w:rsidRPr="00C40532">
        <w:rPr>
          <w:rStyle w:val="apple-converted-space"/>
          <w:lang w:val="en-US"/>
        </w:rPr>
        <w:t> </w:t>
      </w:r>
      <w:r w:rsidR="00AA3725">
        <w:fldChar w:fldCharType="begin"/>
      </w:r>
      <w:r w:rsidR="00AA3725" w:rsidRPr="003E0431">
        <w:rPr>
          <w:lang w:val="en-US"/>
        </w:rPr>
        <w:instrText>HYPERLINK "https://en.wikipedia.org/wiki/Purchasing_power_parity" \o "Purchasing power parity"</w:instrText>
      </w:r>
      <w:r w:rsidR="00AA3725">
        <w:fldChar w:fldCharType="separate"/>
      </w:r>
      <w:r w:rsidRPr="00C40532">
        <w:rPr>
          <w:rStyle w:val="a5"/>
          <w:lang w:val="en-US"/>
        </w:rPr>
        <w:t>purchasing power parity</w:t>
      </w:r>
      <w:r w:rsidR="00AA3725">
        <w:fldChar w:fldCharType="end"/>
      </w:r>
      <w:r w:rsidRPr="00C40532">
        <w:rPr>
          <w:rStyle w:val="apple-converted-space"/>
          <w:lang w:val="en-US"/>
        </w:rPr>
        <w:t> </w:t>
      </w:r>
      <w:r w:rsidRPr="00C40532">
        <w:rPr>
          <w:lang w:val="en-US"/>
        </w:rPr>
        <w:t>(PPP) basis. The government has a goal of quadrupling the</w:t>
      </w:r>
      <w:r w:rsidRPr="00C40532">
        <w:rPr>
          <w:rStyle w:val="apple-converted-space"/>
          <w:lang w:val="en-US"/>
        </w:rPr>
        <w:t> </w:t>
      </w:r>
      <w:r w:rsidR="00AA3725">
        <w:fldChar w:fldCharType="begin"/>
      </w:r>
      <w:r w:rsidR="00AA3725" w:rsidRPr="003E0431">
        <w:rPr>
          <w:lang w:val="en-US"/>
        </w:rPr>
        <w:instrText>HYPERLINK "https://en.wikipedia.org/wiki/Gross_domestic_product" \o "Gross domestic product"</w:instrText>
      </w:r>
      <w:r w:rsidR="00AA3725">
        <w:fldChar w:fldCharType="separate"/>
      </w:r>
      <w:r w:rsidRPr="00C40532">
        <w:rPr>
          <w:rStyle w:val="a5"/>
          <w:lang w:val="en-US"/>
        </w:rPr>
        <w:t>gross domestic product</w:t>
      </w:r>
      <w:r w:rsidR="00AA3725">
        <w:fldChar w:fldCharType="end"/>
      </w:r>
      <w:r w:rsidRPr="00C40532">
        <w:rPr>
          <w:rStyle w:val="apple-converted-space"/>
          <w:lang w:val="en-US"/>
        </w:rPr>
        <w:t> </w:t>
      </w:r>
      <w:r w:rsidRPr="00C40532">
        <w:rPr>
          <w:lang w:val="en-US"/>
        </w:rPr>
        <w:t>(GDP) by 2020 and more than doubling the</w:t>
      </w:r>
      <w:r w:rsidRPr="00C40532">
        <w:rPr>
          <w:rStyle w:val="apple-converted-space"/>
          <w:lang w:val="en-US"/>
        </w:rPr>
        <w:t> </w:t>
      </w:r>
      <w:r w:rsidR="00AA3725">
        <w:fldChar w:fldCharType="begin"/>
      </w:r>
      <w:r w:rsidR="00AA3725" w:rsidRPr="003E0431">
        <w:rPr>
          <w:lang w:val="en-US"/>
        </w:rPr>
        <w:instrText>HYPERLINK "https://en.wikipedia.org/wiki/Gross_domestic_product" \o "Gross domestic product"</w:instrText>
      </w:r>
      <w:r w:rsidR="00AA3725">
        <w:fldChar w:fldCharType="separate"/>
      </w:r>
      <w:r w:rsidRPr="00C40532">
        <w:rPr>
          <w:rStyle w:val="a5"/>
          <w:lang w:val="en-US"/>
        </w:rPr>
        <w:t>per capita GDP</w:t>
      </w:r>
      <w:r w:rsidR="00AA3725">
        <w:fldChar w:fldCharType="end"/>
      </w:r>
      <w:r w:rsidRPr="00C40532">
        <w:rPr>
          <w:lang w:val="en-US"/>
        </w:rPr>
        <w:t>. Central planning has been curtailed, and widespread market mechanisms and a reduced government role have prevailed since 1978. The government fosters a dual economic structure that has evolved from a socialist, centrally</w:t>
      </w:r>
      <w:r w:rsidRPr="00C40532">
        <w:rPr>
          <w:rStyle w:val="apple-converted-space"/>
          <w:lang w:val="en-US"/>
        </w:rPr>
        <w:t> </w:t>
      </w:r>
      <w:r w:rsidR="00AA3725">
        <w:fldChar w:fldCharType="begin"/>
      </w:r>
      <w:r w:rsidR="00AA3725" w:rsidRPr="003E0431">
        <w:rPr>
          <w:lang w:val="en-US"/>
        </w:rPr>
        <w:instrText>HYPERLINK "https://en.wikipedia.org/wiki/Planned_economy" \o "Planned economy"</w:instrText>
      </w:r>
      <w:r w:rsidR="00AA3725">
        <w:fldChar w:fldCharType="separate"/>
      </w:r>
      <w:r w:rsidRPr="00C40532">
        <w:rPr>
          <w:rStyle w:val="a5"/>
          <w:lang w:val="en-US"/>
        </w:rPr>
        <w:t>planned economy</w:t>
      </w:r>
      <w:r w:rsidR="00AA3725">
        <w:fldChar w:fldCharType="end"/>
      </w:r>
      <w:r w:rsidRPr="00C40532">
        <w:rPr>
          <w:rStyle w:val="apple-converted-space"/>
          <w:lang w:val="en-US"/>
        </w:rPr>
        <w:t> </w:t>
      </w:r>
      <w:r w:rsidRPr="00C40532">
        <w:rPr>
          <w:lang w:val="en-US"/>
        </w:rPr>
        <w:t>to a socialist market economic system, or a "</w:t>
      </w:r>
      <w:r w:rsidR="00AA3725">
        <w:fldChar w:fldCharType="begin"/>
      </w:r>
      <w:r w:rsidR="00AA3725" w:rsidRPr="003E0431">
        <w:rPr>
          <w:lang w:val="en-US"/>
        </w:rPr>
        <w:instrText>HYPERLINK "https://en.wikipedia.org/wiki/Socialist_market_economy" \o "Socialist market economy"</w:instrText>
      </w:r>
      <w:r w:rsidR="00AA3725">
        <w:fldChar w:fldCharType="separate"/>
      </w:r>
      <w:r w:rsidRPr="00C40532">
        <w:rPr>
          <w:rStyle w:val="a5"/>
          <w:lang w:val="en-US"/>
        </w:rPr>
        <w:t>socialist market economy with Chinese characteristics</w:t>
      </w:r>
      <w:r w:rsidR="00AA3725">
        <w:fldChar w:fldCharType="end"/>
      </w:r>
      <w:r w:rsidRPr="00C40532">
        <w:rPr>
          <w:lang w:val="en-US"/>
        </w:rPr>
        <w:t>". Industry is marked by increasing</w:t>
      </w:r>
      <w:r w:rsidRPr="00C40532">
        <w:rPr>
          <w:rStyle w:val="apple-converted-space"/>
          <w:lang w:val="en-US"/>
        </w:rPr>
        <w:t> </w:t>
      </w:r>
      <w:r w:rsidR="00AA3725">
        <w:fldChar w:fldCharType="begin"/>
      </w:r>
      <w:r w:rsidR="00AA3725" w:rsidRPr="003E0431">
        <w:rPr>
          <w:lang w:val="en-US"/>
        </w:rPr>
        <w:instrText>HYPERLINK "https://en.wikipedia.org/wiki/Technological_escalation" \o "Technological escalation"</w:instrText>
      </w:r>
      <w:r w:rsidR="00AA3725">
        <w:fldChar w:fldCharType="separate"/>
      </w:r>
      <w:r w:rsidRPr="00C40532">
        <w:rPr>
          <w:rStyle w:val="a5"/>
          <w:lang w:val="en-US"/>
        </w:rPr>
        <w:t>technological advancements</w:t>
      </w:r>
      <w:r w:rsidR="00AA3725">
        <w:fldChar w:fldCharType="end"/>
      </w:r>
      <w:r w:rsidRPr="00C40532">
        <w:rPr>
          <w:rStyle w:val="apple-converted-space"/>
          <w:lang w:val="en-US"/>
        </w:rPr>
        <w:t> </w:t>
      </w:r>
      <w:r w:rsidRPr="00C40532">
        <w:rPr>
          <w:lang w:val="en-US"/>
        </w:rPr>
        <w:t>and</w:t>
      </w:r>
      <w:r w:rsidRPr="00C40532">
        <w:rPr>
          <w:rStyle w:val="apple-converted-space"/>
          <w:lang w:val="en-US"/>
        </w:rPr>
        <w:t> </w:t>
      </w:r>
      <w:r w:rsidR="00AA3725">
        <w:fldChar w:fldCharType="begin"/>
      </w:r>
      <w:r w:rsidR="00AA3725" w:rsidRPr="003E0431">
        <w:rPr>
          <w:lang w:val="en-US"/>
        </w:rPr>
        <w:instrText>HYPERLINK "https://en.wikipedia.org/wiki/Productivity" \o "Productivity"</w:instrText>
      </w:r>
      <w:r w:rsidR="00AA3725">
        <w:fldChar w:fldCharType="separate"/>
      </w:r>
      <w:r w:rsidRPr="00C40532">
        <w:rPr>
          <w:rStyle w:val="a5"/>
          <w:lang w:val="en-US"/>
        </w:rPr>
        <w:t>productivity</w:t>
      </w:r>
      <w:r w:rsidR="00AA3725">
        <w:fldChar w:fldCharType="end"/>
      </w:r>
      <w:r w:rsidRPr="00C40532">
        <w:rPr>
          <w:lang w:val="en-US"/>
        </w:rPr>
        <w:t>. People’s communes were eliminated by 1984 — after more than 25 years — and the system of township-collective-household production was introduced to the agricultural sector. Private ownership of production assets is legal, although some nonagricultural and industrial facilities are still state-owned and centrally planned. Restraints on</w:t>
      </w:r>
      <w:r w:rsidRPr="00C40532">
        <w:rPr>
          <w:rStyle w:val="apple-converted-space"/>
          <w:lang w:val="en-US"/>
        </w:rPr>
        <w:t> </w:t>
      </w:r>
      <w:r w:rsidR="00AA3725">
        <w:fldChar w:fldCharType="begin"/>
      </w:r>
      <w:r w:rsidR="00AA3725" w:rsidRPr="003E0431">
        <w:rPr>
          <w:lang w:val="en-US"/>
        </w:rPr>
        <w:instrText>HYPERLINK "https://en.wikipedia.org/wiki/International_trade" \o "International trade"</w:instrText>
      </w:r>
      <w:r w:rsidR="00AA3725">
        <w:fldChar w:fldCharType="separate"/>
      </w:r>
      <w:r w:rsidRPr="00C40532">
        <w:rPr>
          <w:rStyle w:val="a5"/>
          <w:lang w:val="en-US"/>
        </w:rPr>
        <w:t>international trade</w:t>
      </w:r>
      <w:r w:rsidR="00AA3725">
        <w:fldChar w:fldCharType="end"/>
      </w:r>
      <w:r w:rsidRPr="00C40532">
        <w:rPr>
          <w:rStyle w:val="apple-converted-space"/>
          <w:lang w:val="en-US"/>
        </w:rPr>
        <w:t> </w:t>
      </w:r>
      <w:r w:rsidRPr="00C40532">
        <w:rPr>
          <w:lang w:val="en-US"/>
        </w:rPr>
        <w:t>were relaxed when China acceded to the</w:t>
      </w:r>
      <w:r w:rsidRPr="00C40532">
        <w:rPr>
          <w:rStyle w:val="apple-converted-space"/>
          <w:lang w:val="en-US"/>
        </w:rPr>
        <w:t> </w:t>
      </w:r>
      <w:r w:rsidR="00AA3725">
        <w:fldChar w:fldCharType="begin"/>
      </w:r>
      <w:r w:rsidR="00AA3725" w:rsidRPr="003E0431">
        <w:rPr>
          <w:lang w:val="en-US"/>
        </w:rPr>
        <w:instrText>HYPERLINK "https://en.wikipedia.org/wiki/World_Trade_Organization" \o "World Trade Organization"</w:instrText>
      </w:r>
      <w:r w:rsidR="00AA3725">
        <w:fldChar w:fldCharType="separate"/>
      </w:r>
      <w:r w:rsidRPr="00C40532">
        <w:rPr>
          <w:rStyle w:val="a5"/>
          <w:lang w:val="en-US"/>
        </w:rPr>
        <w:t>World Trade Organization</w:t>
      </w:r>
      <w:r w:rsidR="00AA3725">
        <w:fldChar w:fldCharType="end"/>
      </w:r>
      <w:r w:rsidRPr="00C40532">
        <w:rPr>
          <w:rStyle w:val="apple-converted-space"/>
          <w:lang w:val="en-US"/>
        </w:rPr>
        <w:t> </w:t>
      </w:r>
      <w:r w:rsidRPr="00C40532">
        <w:rPr>
          <w:lang w:val="en-US"/>
        </w:rPr>
        <w:t>in 2001. Joint ventures are encouraged, especially in the coastal</w:t>
      </w:r>
      <w:r w:rsidRPr="00C40532">
        <w:rPr>
          <w:rStyle w:val="apple-converted-space"/>
          <w:lang w:val="en-US"/>
        </w:rPr>
        <w:t> </w:t>
      </w:r>
      <w:r w:rsidR="00AA3725">
        <w:fldChar w:fldCharType="begin"/>
      </w:r>
      <w:r w:rsidR="00AA3725" w:rsidRPr="003E0431">
        <w:rPr>
          <w:lang w:val="en-US"/>
        </w:rPr>
        <w:instrText>HYPERLINK "https://en.wikipedia.org/wiki/Special_Economic_Zone" \o "Special Economic Zone"</w:instrText>
      </w:r>
      <w:r w:rsidR="00AA3725">
        <w:fldChar w:fldCharType="separate"/>
      </w:r>
      <w:r w:rsidRPr="00C40532">
        <w:rPr>
          <w:rStyle w:val="a5"/>
          <w:lang w:val="en-US"/>
        </w:rPr>
        <w:t>Special Economic Zones</w:t>
      </w:r>
      <w:r w:rsidR="00AA3725">
        <w:fldChar w:fldCharType="end"/>
      </w:r>
      <w:r w:rsidRPr="00C40532">
        <w:rPr>
          <w:rStyle w:val="apple-converted-space"/>
          <w:lang w:val="en-US"/>
        </w:rPr>
        <w:t> </w:t>
      </w:r>
      <w:r w:rsidRPr="00C40532">
        <w:rPr>
          <w:lang w:val="en-US"/>
        </w:rPr>
        <w:t>and open coastal cities. A sign of the affluence that the reformed economy has brought to China might be seen in the number of its millionaires (measured in U.S. dollars): a reported 236,000 millionaires in 2004, an increase of 12 percent over two years earlier.</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Chinese officials cite two major trends that have an effect on China’s market economy and future development: world multipolarization and regional integration. In relation to these trends, they foresee the roles of China and the</w:t>
      </w:r>
      <w:r w:rsidRPr="00C40532">
        <w:rPr>
          <w:rStyle w:val="apple-converted-space"/>
          <w:lang w:val="en-US"/>
        </w:rPr>
        <w:t> </w:t>
      </w:r>
      <w:hyperlink r:id="rId40" w:tooltip="United States" w:history="1">
        <w:r w:rsidRPr="00C40532">
          <w:rPr>
            <w:rStyle w:val="a5"/>
            <w:lang w:val="en-US"/>
          </w:rPr>
          <w:t>United States</w:t>
        </w:r>
      </w:hyperlink>
      <w:r w:rsidRPr="00C40532">
        <w:rPr>
          <w:rStyle w:val="apple-converted-space"/>
          <w:lang w:val="en-US"/>
        </w:rPr>
        <w:t> </w:t>
      </w:r>
      <w:r w:rsidRPr="00C40532">
        <w:rPr>
          <w:lang w:val="en-US"/>
        </w:rPr>
        <w:t>in world affairs and with one another as very important. Despite successes, China’s leaders face a variety of challenges to the nation’s future</w:t>
      </w:r>
      <w:r w:rsidRPr="00C40532">
        <w:rPr>
          <w:rStyle w:val="apple-converted-space"/>
          <w:lang w:val="en-US"/>
        </w:rPr>
        <w:t> </w:t>
      </w:r>
      <w:hyperlink r:id="rId41" w:tooltip="Economic development" w:history="1">
        <w:r w:rsidRPr="00C40532">
          <w:rPr>
            <w:rStyle w:val="a5"/>
            <w:lang w:val="en-US"/>
          </w:rPr>
          <w:t>economic development</w:t>
        </w:r>
      </w:hyperlink>
      <w:r w:rsidRPr="00C40532">
        <w:rPr>
          <w:lang w:val="en-US"/>
        </w:rPr>
        <w:t xml:space="preserve">. They have to maintain a high growth rate, deal effectively with the rural workforce, improve the financial system, </w:t>
      </w:r>
      <w:proofErr w:type="gramStart"/>
      <w:r w:rsidRPr="00C40532">
        <w:rPr>
          <w:lang w:val="en-US"/>
        </w:rPr>
        <w:t>continue to reform the state-owned enterprises, foster the productive private sector, establish a</w:t>
      </w:r>
      <w:r w:rsidRPr="00C40532">
        <w:rPr>
          <w:rStyle w:val="apple-converted-space"/>
          <w:lang w:val="en-US"/>
        </w:rPr>
        <w:t> </w:t>
      </w:r>
      <w:hyperlink r:id="rId42" w:tooltip="Social security" w:history="1">
        <w:r w:rsidRPr="00C40532">
          <w:rPr>
            <w:rStyle w:val="a5"/>
            <w:lang w:val="en-US"/>
          </w:rPr>
          <w:t>social security</w:t>
        </w:r>
      </w:hyperlink>
      <w:proofErr w:type="gramEnd"/>
      <w:r w:rsidRPr="00C40532">
        <w:rPr>
          <w:rStyle w:val="apple-converted-space"/>
          <w:lang w:val="en-US"/>
        </w:rPr>
        <w:t> </w:t>
      </w:r>
      <w:r w:rsidRPr="00C40532">
        <w:rPr>
          <w:lang w:val="en-US"/>
        </w:rPr>
        <w:t>system, improve scientific and educational development, promote better international cooperation, and some believe, change the role of the government in the economic system. Despite constraints the</w:t>
      </w:r>
      <w:r w:rsidRPr="00C40532">
        <w:rPr>
          <w:rStyle w:val="apple-converted-space"/>
          <w:lang w:val="en-US"/>
        </w:rPr>
        <w:t> </w:t>
      </w:r>
      <w:r w:rsidR="00AA3725">
        <w:fldChar w:fldCharType="begin"/>
      </w:r>
      <w:r w:rsidR="00AA3725" w:rsidRPr="003E0431">
        <w:rPr>
          <w:lang w:val="en-US"/>
        </w:rPr>
        <w:instrText>HYPERLINK "https://en.wikipedia.org/wiki/Globalization" \o "Globalization"</w:instrText>
      </w:r>
      <w:r w:rsidR="00AA3725">
        <w:fldChar w:fldCharType="separate"/>
      </w:r>
      <w:r w:rsidRPr="00C40532">
        <w:rPr>
          <w:rStyle w:val="a5"/>
          <w:lang w:val="en-US"/>
        </w:rPr>
        <w:t>international market</w:t>
      </w:r>
      <w:r w:rsidR="00AA3725">
        <w:fldChar w:fldCharType="end"/>
      </w:r>
      <w:r w:rsidRPr="00C40532">
        <w:rPr>
          <w:rStyle w:val="apple-converted-space"/>
          <w:lang w:val="en-US"/>
        </w:rPr>
        <w:t> </w:t>
      </w:r>
      <w:r w:rsidRPr="00C40532">
        <w:rPr>
          <w:lang w:val="en-US"/>
        </w:rPr>
        <w:t>has placed on China, it nevertheless became the world’s third largest trading nation in 2004 after only the United States and</w:t>
      </w:r>
      <w:r w:rsidRPr="00C40532">
        <w:rPr>
          <w:rStyle w:val="apple-converted-space"/>
          <w:lang w:val="en-US"/>
        </w:rPr>
        <w:t> </w:t>
      </w:r>
      <w:r w:rsidR="00AA3725">
        <w:fldChar w:fldCharType="begin"/>
      </w:r>
      <w:r w:rsidR="00AA3725" w:rsidRPr="003E0431">
        <w:rPr>
          <w:lang w:val="en-US"/>
        </w:rPr>
        <w:instrText>HYPERLINK "https://en.wikipedia.org/wiki/Germany" \o "Germany"</w:instrText>
      </w:r>
      <w:r w:rsidR="00AA3725">
        <w:fldChar w:fldCharType="separate"/>
      </w:r>
      <w:r w:rsidRPr="00C40532">
        <w:rPr>
          <w:rStyle w:val="a5"/>
          <w:lang w:val="en-US"/>
        </w:rPr>
        <w:t>Germany</w:t>
      </w:r>
      <w:r w:rsidR="00AA3725">
        <w:fldChar w:fldCharType="end"/>
      </w:r>
      <w:r w:rsidRPr="00C40532">
        <w:rPr>
          <w:lang w:val="en-US"/>
        </w:rPr>
        <w: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lastRenderedPageBreak/>
        <w:t>The Fifth Plenum of the Sixteenth CPC Central Committee took place in October 2005. The Fifth Plenum approved the new</w:t>
      </w:r>
      <w:r w:rsidRPr="00C40532">
        <w:rPr>
          <w:rStyle w:val="apple-converted-space"/>
          <w:lang w:val="en-US"/>
        </w:rPr>
        <w:t> </w:t>
      </w:r>
      <w:r w:rsidR="00AA3725">
        <w:fldChar w:fldCharType="begin"/>
      </w:r>
      <w:r w:rsidR="00AA3725" w:rsidRPr="003E0431">
        <w:rPr>
          <w:lang w:val="en-US"/>
        </w:rPr>
        <w:instrText>HYPERLINK "https://en.wikipedia.org/wiki/Eleventh_Five-Year_Plan_(People%27s_Republic_of_China)" \o "Eleventh Five-Year Plan (People's Republic of China)"</w:instrText>
      </w:r>
      <w:r w:rsidR="00AA3725">
        <w:fldChar w:fldCharType="separate"/>
      </w:r>
      <w:r w:rsidRPr="00C40532">
        <w:rPr>
          <w:rStyle w:val="a5"/>
          <w:lang w:val="en-US"/>
        </w:rPr>
        <w:t>Eleventh Five-Year Plan</w:t>
      </w:r>
      <w:r w:rsidR="00AA3725">
        <w:fldChar w:fldCharType="end"/>
      </w:r>
      <w:r w:rsidRPr="00C40532">
        <w:rPr>
          <w:rStyle w:val="apple-converted-space"/>
          <w:lang w:val="en-US"/>
        </w:rPr>
        <w:t> </w:t>
      </w:r>
      <w:r w:rsidRPr="00C40532">
        <w:rPr>
          <w:lang w:val="en-US"/>
        </w:rPr>
        <w:t>(2006–10), which emphasizes a shift from extensive to intensive growth in order to meet demands for improved economic returns; the conservation of resources to include a 20% reduction in</w:t>
      </w:r>
      <w:r w:rsidRPr="00C40532">
        <w:rPr>
          <w:rStyle w:val="apple-converted-space"/>
          <w:lang w:val="en-US"/>
        </w:rPr>
        <w:t> </w:t>
      </w:r>
      <w:r w:rsidR="00AA3725">
        <w:fldChar w:fldCharType="begin"/>
      </w:r>
      <w:r w:rsidR="00AA3725" w:rsidRPr="003E0431">
        <w:rPr>
          <w:lang w:val="en-US"/>
        </w:rPr>
        <w:instrText>HYPERLINK "https://en.wikipedia.org/wiki/World_energy_resources_and_consumption" \o "World energy resources and consumption"</w:instrText>
      </w:r>
      <w:r w:rsidR="00AA3725">
        <w:fldChar w:fldCharType="separate"/>
      </w:r>
      <w:r w:rsidRPr="00C40532">
        <w:rPr>
          <w:rStyle w:val="a5"/>
          <w:lang w:val="en-US"/>
        </w:rPr>
        <w:t>energy consumption</w:t>
      </w:r>
      <w:r w:rsidR="00AA3725">
        <w:fldChar w:fldCharType="end"/>
      </w:r>
      <w:r w:rsidRPr="00C40532">
        <w:rPr>
          <w:rStyle w:val="apple-converted-space"/>
          <w:lang w:val="en-US"/>
        </w:rPr>
        <w:t> </w:t>
      </w:r>
      <w:r w:rsidRPr="00C40532">
        <w:rPr>
          <w:lang w:val="en-US"/>
        </w:rPr>
        <w:t>by 2010; and an effort to raise</w:t>
      </w:r>
      <w:r w:rsidRPr="00C40532">
        <w:rPr>
          <w:rStyle w:val="apple-converted-space"/>
          <w:lang w:val="en-US"/>
        </w:rPr>
        <w:t> </w:t>
      </w:r>
      <w:r w:rsidR="00AA3725">
        <w:fldChar w:fldCharType="begin"/>
      </w:r>
      <w:r w:rsidR="00AA3725" w:rsidRPr="003E0431">
        <w:rPr>
          <w:lang w:val="en-US"/>
        </w:rPr>
        <w:instrText>HYPERLINK "https://en.wikipedia.org/wiki/Profit_(accounting)" \o "Profit (accounting)"</w:instrText>
      </w:r>
      <w:r w:rsidR="00AA3725">
        <w:fldChar w:fldCharType="separate"/>
      </w:r>
      <w:r w:rsidRPr="00C40532">
        <w:rPr>
          <w:rStyle w:val="a5"/>
          <w:lang w:val="en-US"/>
        </w:rPr>
        <w:t>profitability</w:t>
      </w:r>
      <w:r w:rsidR="00AA3725">
        <w:fldChar w:fldCharType="end"/>
      </w:r>
      <w:r w:rsidRPr="00C40532">
        <w:rPr>
          <w:lang w:val="en-US"/>
        </w:rPr>
        <w:t>. Better coordination of urban and rural development and of development between nearby provincial regions also is emphasized in the new plan.</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tabs>
          <w:tab w:val="left" w:pos="567"/>
        </w:tabs>
        <w:spacing w:after="0" w:line="240" w:lineRule="auto"/>
        <w:ind w:firstLine="567"/>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units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People's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Republic</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China</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bCs/>
          <w:lang w:val="en-US"/>
        </w:rPr>
        <w:t>China's financial system</w:t>
      </w:r>
      <w:r w:rsidRPr="00C40532">
        <w:rPr>
          <w:rStyle w:val="apple-converted-space"/>
          <w:lang w:val="en-US"/>
        </w:rPr>
        <w:t> </w:t>
      </w:r>
      <w:r w:rsidRPr="00C40532">
        <w:rPr>
          <w:lang w:val="en-US"/>
        </w:rPr>
        <w:t xml:space="preserve">is highly </w:t>
      </w:r>
      <w:proofErr w:type="gramStart"/>
      <w:r w:rsidRPr="00C40532">
        <w:rPr>
          <w:lang w:val="en-US"/>
        </w:rPr>
        <w:t>regulated</w:t>
      </w:r>
      <w:r w:rsidRPr="00C40532">
        <w:rPr>
          <w:vertAlign w:val="superscript"/>
          <w:lang w:val="en-US"/>
        </w:rPr>
        <w:t>[</w:t>
      </w:r>
      <w:proofErr w:type="gramEnd"/>
      <w:r w:rsidR="00AA3725">
        <w:fldChar w:fldCharType="begin"/>
      </w:r>
      <w:r w:rsidR="00004B32" w:rsidRPr="008B4EEF">
        <w:rPr>
          <w:lang w:val="en-US"/>
        </w:rPr>
        <w:instrText>HYPERLINK "https://en.wikipedia.org/wiki/Wikipedia:Citation_needed" \o "Wikipedia:Citation needed"</w:instrText>
      </w:r>
      <w:r w:rsidR="00AA3725">
        <w:fldChar w:fldCharType="separate"/>
      </w:r>
      <w:r w:rsidRPr="00C40532">
        <w:rPr>
          <w:rStyle w:val="a5"/>
          <w:i/>
          <w:iCs/>
          <w:vertAlign w:val="superscript"/>
          <w:lang w:val="en-US"/>
        </w:rPr>
        <w:t>citation needed</w:t>
      </w:r>
      <w:r w:rsidR="00AA3725">
        <w:fldChar w:fldCharType="end"/>
      </w:r>
      <w:r w:rsidRPr="00C40532">
        <w:rPr>
          <w:vertAlign w:val="superscript"/>
          <w:lang w:val="en-US"/>
        </w:rPr>
        <w:t>]</w:t>
      </w:r>
      <w:r w:rsidRPr="00C40532">
        <w:rPr>
          <w:rStyle w:val="apple-converted-space"/>
          <w:lang w:val="en-US"/>
        </w:rPr>
        <w:t> </w:t>
      </w:r>
      <w:r w:rsidRPr="00C40532">
        <w:rPr>
          <w:lang w:val="en-US"/>
        </w:rPr>
        <w:t>and has recently begun to expand rapidly as</w:t>
      </w:r>
      <w:r w:rsidRPr="00C40532">
        <w:rPr>
          <w:rStyle w:val="apple-converted-space"/>
          <w:lang w:val="en-US"/>
        </w:rPr>
        <w:t> </w:t>
      </w:r>
      <w:hyperlink r:id="rId43" w:tooltip="Monetary policy" w:history="1">
        <w:r w:rsidRPr="00C40532">
          <w:rPr>
            <w:rStyle w:val="a5"/>
            <w:lang w:val="en-US"/>
          </w:rPr>
          <w:t>monetary policy</w:t>
        </w:r>
      </w:hyperlink>
      <w:r w:rsidRPr="00C40532">
        <w:rPr>
          <w:rStyle w:val="apple-converted-space"/>
          <w:lang w:val="en-US"/>
        </w:rPr>
        <w:t> </w:t>
      </w:r>
      <w:r w:rsidRPr="00C40532">
        <w:rPr>
          <w:lang w:val="en-US"/>
        </w:rPr>
        <w:t>becomes integral to its overall</w:t>
      </w:r>
      <w:r w:rsidRPr="00C40532">
        <w:rPr>
          <w:rStyle w:val="apple-converted-space"/>
          <w:lang w:val="en-US"/>
        </w:rPr>
        <w:t> </w:t>
      </w:r>
      <w:hyperlink r:id="rId44" w:tooltip="Economic policy" w:history="1">
        <w:r w:rsidRPr="00C40532">
          <w:rPr>
            <w:rStyle w:val="a5"/>
            <w:lang w:val="en-US"/>
          </w:rPr>
          <w:t>economic policy</w:t>
        </w:r>
      </w:hyperlink>
      <w:r w:rsidRPr="00C40532">
        <w:rPr>
          <w:lang w:val="en-US"/>
        </w:rPr>
        <w:t>. As a result, banks are becoming more important to China's economy by providing increasingly more</w:t>
      </w:r>
      <w:r w:rsidRPr="00C40532">
        <w:rPr>
          <w:rStyle w:val="apple-converted-space"/>
          <w:lang w:val="en-US"/>
        </w:rPr>
        <w:t> </w:t>
      </w:r>
      <w:r w:rsidR="00AA3725">
        <w:fldChar w:fldCharType="begin"/>
      </w:r>
      <w:r w:rsidR="00AA3725" w:rsidRPr="003E0431">
        <w:rPr>
          <w:lang w:val="en-US"/>
        </w:rPr>
        <w:instrText>HYPERLINK "https://en.wikipedia.org/wiki/Finance" \o "Finance"</w:instrText>
      </w:r>
      <w:r w:rsidR="00AA3725">
        <w:fldChar w:fldCharType="separate"/>
      </w:r>
      <w:r w:rsidRPr="00C40532">
        <w:rPr>
          <w:rStyle w:val="a5"/>
          <w:lang w:val="en-US"/>
        </w:rPr>
        <w:t>finance</w:t>
      </w:r>
      <w:r w:rsidR="00AA3725">
        <w:fldChar w:fldCharType="end"/>
      </w:r>
      <w:r w:rsidRPr="00C40532">
        <w:rPr>
          <w:rStyle w:val="apple-converted-space"/>
          <w:lang w:val="en-US"/>
        </w:rPr>
        <w:t> </w:t>
      </w:r>
      <w:r w:rsidRPr="00C40532">
        <w:rPr>
          <w:lang w:val="en-US"/>
        </w:rPr>
        <w:t>to</w:t>
      </w:r>
      <w:r w:rsidRPr="00C40532">
        <w:rPr>
          <w:rStyle w:val="apple-converted-space"/>
          <w:lang w:val="en-US"/>
        </w:rPr>
        <w:t> </w:t>
      </w:r>
      <w:r w:rsidR="00AA3725">
        <w:fldChar w:fldCharType="begin"/>
      </w:r>
      <w:r w:rsidR="00AA3725" w:rsidRPr="003E0431">
        <w:rPr>
          <w:lang w:val="en-US"/>
        </w:rPr>
        <w:instrText>HYPERLINK "https://en.wikipedia.org/wiki/Business" \o "Business"</w:instrText>
      </w:r>
      <w:r w:rsidR="00AA3725">
        <w:fldChar w:fldCharType="separate"/>
      </w:r>
      <w:r w:rsidRPr="00C40532">
        <w:rPr>
          <w:rStyle w:val="a5"/>
          <w:lang w:val="en-US"/>
        </w:rPr>
        <w:t>enterprises</w:t>
      </w:r>
      <w:r w:rsidR="00AA3725">
        <w:fldChar w:fldCharType="end"/>
      </w:r>
      <w:r w:rsidRPr="00C40532">
        <w:rPr>
          <w:rStyle w:val="apple-converted-space"/>
          <w:lang w:val="en-US"/>
        </w:rPr>
        <w:t> </w:t>
      </w:r>
      <w:r w:rsidRPr="00C40532">
        <w:rPr>
          <w:lang w:val="en-US"/>
        </w:rPr>
        <w:t>for</w:t>
      </w:r>
      <w:r w:rsidRPr="00C40532">
        <w:rPr>
          <w:rStyle w:val="apple-converted-space"/>
          <w:lang w:val="en-US"/>
        </w:rPr>
        <w:t> </w:t>
      </w:r>
      <w:r w:rsidR="00AA3725">
        <w:fldChar w:fldCharType="begin"/>
      </w:r>
      <w:r w:rsidR="00AA3725" w:rsidRPr="003E0431">
        <w:rPr>
          <w:lang w:val="en-US"/>
        </w:rPr>
        <w:instrText>HYPERLINK "https://en.wikipedia.org/wiki/Investment" \o "Investment"</w:instrText>
      </w:r>
      <w:r w:rsidR="00AA3725">
        <w:fldChar w:fldCharType="separate"/>
      </w:r>
      <w:r w:rsidRPr="00C40532">
        <w:rPr>
          <w:rStyle w:val="a5"/>
          <w:lang w:val="en-US"/>
        </w:rPr>
        <w:t>investment</w:t>
      </w:r>
      <w:r w:rsidR="00AA3725">
        <w:fldChar w:fldCharType="end"/>
      </w:r>
      <w:r w:rsidRPr="00C40532">
        <w:rPr>
          <w:lang w:val="en-US"/>
        </w:rPr>
        <w:t>, seeking</w:t>
      </w:r>
      <w:r w:rsidRPr="00C40532">
        <w:rPr>
          <w:rStyle w:val="apple-converted-space"/>
          <w:lang w:val="en-US"/>
        </w:rPr>
        <w:t> </w:t>
      </w:r>
      <w:r w:rsidR="00AA3725">
        <w:fldChar w:fldCharType="begin"/>
      </w:r>
      <w:r w:rsidR="00AA3725" w:rsidRPr="003E0431">
        <w:rPr>
          <w:lang w:val="en-US"/>
        </w:rPr>
        <w:instrText>HYPERLINK "https://en.wikipedia.org/wiki/Deposit_account" \o "Deposit account"</w:instrText>
      </w:r>
      <w:r w:rsidR="00AA3725">
        <w:fldChar w:fldCharType="separate"/>
      </w:r>
      <w:r w:rsidRPr="00C40532">
        <w:rPr>
          <w:rStyle w:val="a5"/>
          <w:lang w:val="en-US"/>
        </w:rPr>
        <w:t>deposits</w:t>
      </w:r>
      <w:r w:rsidR="00AA3725">
        <w:fldChar w:fldCharType="end"/>
      </w:r>
      <w:r w:rsidRPr="00C40532">
        <w:rPr>
          <w:rStyle w:val="apple-converted-space"/>
          <w:lang w:val="en-US"/>
        </w:rPr>
        <w:t> </w:t>
      </w:r>
      <w:r w:rsidRPr="00C40532">
        <w:rPr>
          <w:lang w:val="en-US"/>
        </w:rPr>
        <w:t>from the public to mop up excess</w:t>
      </w:r>
      <w:r w:rsidRPr="00C40532">
        <w:rPr>
          <w:rStyle w:val="apple-converted-space"/>
          <w:lang w:val="en-US"/>
        </w:rPr>
        <w:t> </w:t>
      </w:r>
      <w:r w:rsidR="00AA3725">
        <w:fldChar w:fldCharType="begin"/>
      </w:r>
      <w:r w:rsidR="00AA3725" w:rsidRPr="003E0431">
        <w:rPr>
          <w:lang w:val="en-US"/>
        </w:rPr>
        <w:instrText>HYPERLINK "https://en.wikipedia.org/wiki/Market_liquidity" \o "Market liquidity"</w:instrText>
      </w:r>
      <w:r w:rsidR="00AA3725">
        <w:fldChar w:fldCharType="separate"/>
      </w:r>
      <w:r w:rsidRPr="00C40532">
        <w:rPr>
          <w:rStyle w:val="a5"/>
          <w:lang w:val="en-US"/>
        </w:rPr>
        <w:t>liquidity</w:t>
      </w:r>
      <w:r w:rsidR="00AA3725">
        <w:fldChar w:fldCharType="end"/>
      </w:r>
      <w:r w:rsidRPr="00C40532">
        <w:rPr>
          <w:lang w:val="en-US"/>
        </w:rPr>
        <w:t>, and</w:t>
      </w:r>
      <w:r w:rsidRPr="00C40532">
        <w:rPr>
          <w:rStyle w:val="apple-converted-space"/>
          <w:lang w:val="en-US"/>
        </w:rPr>
        <w:t> </w:t>
      </w:r>
      <w:r w:rsidR="00AA3725">
        <w:fldChar w:fldCharType="begin"/>
      </w:r>
      <w:r w:rsidR="00AA3725" w:rsidRPr="003E0431">
        <w:rPr>
          <w:lang w:val="en-US"/>
        </w:rPr>
        <w:instrText>HYPERLINK "https://en.wikipedia.org/wiki/Credit_(finance)" \o "Credit (finance)"</w:instrText>
      </w:r>
      <w:r w:rsidR="00AA3725">
        <w:fldChar w:fldCharType="separate"/>
      </w:r>
      <w:r w:rsidRPr="00C40532">
        <w:rPr>
          <w:rStyle w:val="a5"/>
          <w:lang w:val="en-US"/>
        </w:rPr>
        <w:t>lending</w:t>
      </w:r>
      <w:r w:rsidR="00AA3725">
        <w:fldChar w:fldCharType="end"/>
      </w:r>
      <w:r w:rsidRPr="00C40532">
        <w:rPr>
          <w:rStyle w:val="apple-converted-space"/>
          <w:lang w:val="en-US"/>
        </w:rPr>
        <w:t> </w:t>
      </w:r>
      <w:r w:rsidR="00AA3725">
        <w:fldChar w:fldCharType="begin"/>
      </w:r>
      <w:r w:rsidR="00AA3725" w:rsidRPr="003E0431">
        <w:rPr>
          <w:lang w:val="en-US"/>
        </w:rPr>
        <w:instrText>HYPERLINK "https://en.wikipedia.org/wiki/Money" \o "Money"</w:instrText>
      </w:r>
      <w:r w:rsidR="00AA3725">
        <w:fldChar w:fldCharType="separate"/>
      </w:r>
      <w:r w:rsidRPr="00C40532">
        <w:rPr>
          <w:rStyle w:val="a5"/>
          <w:lang w:val="en-US"/>
        </w:rPr>
        <w:t>money</w:t>
      </w:r>
      <w:r w:rsidR="00AA3725">
        <w:fldChar w:fldCharType="end"/>
      </w:r>
      <w:r w:rsidRPr="00C40532">
        <w:rPr>
          <w:rStyle w:val="apple-converted-space"/>
          <w:lang w:val="en-US"/>
        </w:rPr>
        <w:t> </w:t>
      </w:r>
      <w:r w:rsidRPr="00C40532">
        <w:rPr>
          <w:lang w:val="en-US"/>
        </w:rPr>
        <w:t>to the government.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As part of</w:t>
      </w:r>
      <w:r w:rsidRPr="00C40532">
        <w:rPr>
          <w:rStyle w:val="apple-converted-space"/>
          <w:lang w:val="en-US"/>
        </w:rPr>
        <w:t> </w:t>
      </w:r>
      <w:r w:rsidR="00AA3725">
        <w:fldChar w:fldCharType="begin"/>
      </w:r>
      <w:r w:rsidR="00AA3725" w:rsidRPr="003E0431">
        <w:rPr>
          <w:lang w:val="en-US"/>
        </w:rPr>
        <w:instrText>HYPERLINK "https://en.wikipedia.org/wiki/Chinese_economic_stimulus_program" \o "Chinese economic stimulus program"</w:instrText>
      </w:r>
      <w:r w:rsidR="00AA3725">
        <w:fldChar w:fldCharType="separate"/>
      </w:r>
      <w:r w:rsidRPr="00C40532">
        <w:rPr>
          <w:rStyle w:val="a5"/>
          <w:lang w:val="en-US"/>
        </w:rPr>
        <w:t>US$586 billion economic stimulus package</w:t>
      </w:r>
      <w:r w:rsidR="00AA3725">
        <w:fldChar w:fldCharType="end"/>
      </w:r>
      <w:r w:rsidRPr="00C40532">
        <w:rPr>
          <w:rStyle w:val="apple-converted-space"/>
          <w:lang w:val="en-US"/>
        </w:rPr>
        <w:t> </w:t>
      </w:r>
      <w:r w:rsidRPr="00C40532">
        <w:rPr>
          <w:lang w:val="en-US"/>
        </w:rPr>
        <w:t>of November 2008, the government is planning to remove loan quotas and ceilings for all lenders, and increase bank credit for priority projects, including rural areas, small businesses, technology companies, iron and cement companies</w:t>
      </w:r>
    </w:p>
    <w:p w:rsidR="00472A60" w:rsidRPr="00C40532" w:rsidRDefault="00472A60" w:rsidP="00472A60">
      <w:pPr>
        <w:pBdr>
          <w:bottom w:val="single" w:sz="6" w:space="0" w:color="A2A9B1"/>
        </w:pBdr>
        <w:shd w:val="clear" w:color="auto" w:fill="FFFFFF"/>
        <w:spacing w:after="0" w:line="240" w:lineRule="auto"/>
        <w:ind w:firstLine="567"/>
        <w:jc w:val="both"/>
        <w:outlineLvl w:val="1"/>
        <w:rPr>
          <w:rFonts w:ascii="Times New Roman" w:hAnsi="Times New Roman" w:cs="Times New Roman"/>
          <w:b/>
          <w:sz w:val="24"/>
          <w:szCs w:val="24"/>
          <w:lang w:val="en-US"/>
        </w:rPr>
      </w:pPr>
      <w:r w:rsidRPr="00C40532">
        <w:rPr>
          <w:rFonts w:ascii="Times New Roman" w:hAnsi="Times New Roman" w:cs="Times New Roman"/>
          <w:b/>
          <w:sz w:val="24"/>
          <w:szCs w:val="24"/>
          <w:lang w:val="en-US"/>
        </w:rPr>
        <w:t>Financial reform</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For the past few decades, the</w:t>
      </w:r>
      <w:r w:rsidRPr="00C40532">
        <w:rPr>
          <w:rStyle w:val="apple-converted-space"/>
          <w:lang w:val="en-US"/>
        </w:rPr>
        <w:t> </w:t>
      </w:r>
      <w:r w:rsidR="00AA3725">
        <w:fldChar w:fldCharType="begin"/>
      </w:r>
      <w:r w:rsidR="00AA3725" w:rsidRPr="003E0431">
        <w:rPr>
          <w:lang w:val="en-US"/>
        </w:rPr>
        <w:instrText>HYPERLINK "https://en.wikipedia.org/wiki/People%27s_Bank_of_China" \o "People's Bank of China"</w:instrText>
      </w:r>
      <w:r w:rsidR="00AA3725">
        <w:fldChar w:fldCharType="separate"/>
      </w:r>
      <w:r w:rsidRPr="00C40532">
        <w:rPr>
          <w:rStyle w:val="a5"/>
          <w:lang w:val="en-US"/>
        </w:rPr>
        <w:t>People's Bank of China</w:t>
      </w:r>
      <w:r w:rsidR="00AA3725">
        <w:fldChar w:fldCharType="end"/>
      </w:r>
      <w:r w:rsidRPr="00C40532">
        <w:rPr>
          <w:rStyle w:val="apple-converted-space"/>
          <w:lang w:val="en-US"/>
        </w:rPr>
        <w:t> </w:t>
      </w:r>
      <w:r w:rsidRPr="00C40532">
        <w:rPr>
          <w:lang w:val="en-US"/>
        </w:rPr>
        <w:t>has exercised the functions and powers of a</w:t>
      </w:r>
      <w:r w:rsidRPr="00C40532">
        <w:rPr>
          <w:rStyle w:val="apple-converted-space"/>
          <w:lang w:val="en-US"/>
        </w:rPr>
        <w:t> </w:t>
      </w:r>
      <w:r w:rsidR="00AA3725">
        <w:fldChar w:fldCharType="begin"/>
      </w:r>
      <w:r w:rsidR="00AA3725" w:rsidRPr="003E0431">
        <w:rPr>
          <w:lang w:val="en-US"/>
        </w:rPr>
        <w:instrText>HYPERLINK "https://en.wikipedia.org/wiki/Central_bank" \o "Central bank"</w:instrText>
      </w:r>
      <w:r w:rsidR="00AA3725">
        <w:fldChar w:fldCharType="separate"/>
      </w:r>
      <w:r w:rsidRPr="00C40532">
        <w:rPr>
          <w:rStyle w:val="a5"/>
          <w:lang w:val="en-US"/>
        </w:rPr>
        <w:t>central bank</w:t>
      </w:r>
      <w:r w:rsidR="00AA3725">
        <w:fldChar w:fldCharType="end"/>
      </w:r>
      <w:r w:rsidRPr="00C40532">
        <w:rPr>
          <w:lang w:val="en-US"/>
        </w:rPr>
        <w:t>, as well as handling industrial and commercial</w:t>
      </w:r>
      <w:r w:rsidRPr="00C40532">
        <w:rPr>
          <w:rStyle w:val="apple-converted-space"/>
          <w:lang w:val="en-US"/>
        </w:rPr>
        <w:t> </w:t>
      </w:r>
      <w:r w:rsidR="00AA3725">
        <w:fldChar w:fldCharType="begin"/>
      </w:r>
      <w:r w:rsidR="00AA3725" w:rsidRPr="003E0431">
        <w:rPr>
          <w:lang w:val="en-US"/>
        </w:rPr>
        <w:instrText>HYPERLINK "https://en.wikipedia.org/wiki/Credit_(finance)" \o "Credit (finance)"</w:instrText>
      </w:r>
      <w:r w:rsidR="00AA3725">
        <w:fldChar w:fldCharType="separate"/>
      </w:r>
      <w:r w:rsidRPr="00C40532">
        <w:rPr>
          <w:rStyle w:val="a5"/>
          <w:lang w:val="en-US"/>
        </w:rPr>
        <w:t>credits</w:t>
      </w:r>
      <w:r w:rsidR="00AA3725">
        <w:fldChar w:fldCharType="end"/>
      </w:r>
      <w:r w:rsidRPr="00C40532">
        <w:rPr>
          <w:rStyle w:val="apple-converted-space"/>
          <w:lang w:val="en-US"/>
        </w:rPr>
        <w:t> </w:t>
      </w:r>
      <w:r w:rsidRPr="00C40532">
        <w:rPr>
          <w:lang w:val="en-US"/>
        </w:rPr>
        <w:t>and</w:t>
      </w:r>
      <w:r w:rsidRPr="00C40532">
        <w:rPr>
          <w:rStyle w:val="apple-converted-space"/>
          <w:lang w:val="en-US"/>
        </w:rPr>
        <w:t> </w:t>
      </w:r>
      <w:r w:rsidR="00AA3725">
        <w:fldChar w:fldCharType="begin"/>
      </w:r>
      <w:r w:rsidR="00AA3725" w:rsidRPr="003E0431">
        <w:rPr>
          <w:lang w:val="en-US"/>
        </w:rPr>
        <w:instrText>HYPERLINK "https://en.wikipedia.org/wiki/Saving" \o "Saving"</w:instrText>
      </w:r>
      <w:r w:rsidR="00AA3725">
        <w:fldChar w:fldCharType="separate"/>
      </w:r>
      <w:r w:rsidRPr="00C40532">
        <w:rPr>
          <w:rStyle w:val="a5"/>
          <w:lang w:val="en-US"/>
        </w:rPr>
        <w:t>savings</w:t>
      </w:r>
      <w:r w:rsidR="00AA3725">
        <w:fldChar w:fldCharType="end"/>
      </w:r>
      <w:r w:rsidRPr="00C40532">
        <w:rPr>
          <w:rStyle w:val="apple-converted-space"/>
          <w:lang w:val="en-US"/>
        </w:rPr>
        <w:t> </w:t>
      </w:r>
      <w:r w:rsidRPr="00C40532">
        <w:rPr>
          <w:lang w:val="en-US"/>
        </w:rPr>
        <w:t>business; it was neither the central bank in the true sense, nor a commercial entity conforming to the law of the</w:t>
      </w:r>
      <w:r w:rsidRPr="00C40532">
        <w:rPr>
          <w:rStyle w:val="apple-converted-space"/>
          <w:lang w:val="en-US"/>
        </w:rPr>
        <w:t> </w:t>
      </w:r>
      <w:r w:rsidR="00AA3725">
        <w:fldChar w:fldCharType="begin"/>
      </w:r>
      <w:r w:rsidR="00AA3725" w:rsidRPr="003E0431">
        <w:rPr>
          <w:lang w:val="en-US"/>
        </w:rPr>
        <w:instrText>HYPERLINK "https://en.wikipedia.org/wiki/Market_economy" \o "Market economy"</w:instrText>
      </w:r>
      <w:r w:rsidR="00AA3725">
        <w:fldChar w:fldCharType="separate"/>
      </w:r>
      <w:r w:rsidRPr="00C40532">
        <w:rPr>
          <w:rStyle w:val="a5"/>
          <w:lang w:val="en-US"/>
        </w:rPr>
        <w:t>market economy</w:t>
      </w:r>
      <w:r w:rsidR="00AA3725">
        <w:fldChar w:fldCharType="end"/>
      </w:r>
      <w:r w:rsidRPr="00C40532">
        <w:rPr>
          <w:lang w:val="en-US"/>
        </w:rPr>
        <w:t>. But since reform and opening-up began in 1978, China has carried out a series of significant reforms in its</w:t>
      </w:r>
      <w:r w:rsidRPr="00C40532">
        <w:rPr>
          <w:rStyle w:val="apple-converted-space"/>
          <w:lang w:val="en-US"/>
        </w:rPr>
        <w:t> </w:t>
      </w:r>
      <w:r w:rsidR="00AA3725">
        <w:fldChar w:fldCharType="begin"/>
      </w:r>
      <w:r w:rsidR="00AA3725" w:rsidRPr="003E0431">
        <w:rPr>
          <w:lang w:val="en-US"/>
        </w:rPr>
        <w:instrText>HYPERLINK "https://en.wikipedia.org/wiki/Banking_in_China" \o "Banking in China"</w:instrText>
      </w:r>
      <w:r w:rsidR="00AA3725">
        <w:fldChar w:fldCharType="separate"/>
      </w:r>
      <w:r w:rsidRPr="00C40532">
        <w:rPr>
          <w:rStyle w:val="a5"/>
          <w:lang w:val="en-US"/>
        </w:rPr>
        <w:t>banking system</w:t>
      </w:r>
      <w:r w:rsidR="00AA3725">
        <w:fldChar w:fldCharType="end"/>
      </w:r>
      <w:r w:rsidRPr="00C40532">
        <w:rPr>
          <w:lang w:val="en-US"/>
        </w:rPr>
        <w:t>, and strengthened its opening to the outside world. Consequently, the</w:t>
      </w:r>
      <w:r w:rsidRPr="00C40532">
        <w:rPr>
          <w:rStyle w:val="apple-converted-space"/>
          <w:lang w:val="en-US"/>
        </w:rPr>
        <w:t> </w:t>
      </w:r>
      <w:r w:rsidR="00AA3725">
        <w:fldChar w:fldCharType="begin"/>
      </w:r>
      <w:r w:rsidR="00AA3725" w:rsidRPr="003E0431">
        <w:rPr>
          <w:lang w:val="en-US"/>
        </w:rPr>
        <w:instrText>HYPERLINK "https://en.wikipedia.org/wiki/Financial_services" \o "Financial services"</w:instrText>
      </w:r>
      <w:r w:rsidR="00AA3725">
        <w:fldChar w:fldCharType="separate"/>
      </w:r>
      <w:r w:rsidRPr="00C40532">
        <w:rPr>
          <w:rStyle w:val="a5"/>
          <w:lang w:val="en-US"/>
        </w:rPr>
        <w:t>finance industry</w:t>
      </w:r>
      <w:r w:rsidR="00AA3725">
        <w:fldChar w:fldCharType="end"/>
      </w:r>
      <w:r w:rsidRPr="00C40532">
        <w:rPr>
          <w:rStyle w:val="apple-converted-space"/>
          <w:lang w:val="en-US"/>
        </w:rPr>
        <w:t> </w:t>
      </w:r>
      <w:r w:rsidRPr="00C40532">
        <w:rPr>
          <w:lang w:val="en-US"/>
        </w:rPr>
        <w:t>has made steady development. At the end of 2004, the balance of domestic and foreign currency savings deposits stood at 25,318.8 billion yuan and the balance of home and foreign currency loans came to 18,856.6 billion yuan. Now China has basically formed a financial system under the regulation, control and supervision of the central bank, with its state banks as the mainstay, featuring the separation of policy-related finance and commercial finance, the cooperation of various financial institutions with mutually complementary functions.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In 1984, the People's Bank of China stopped handling credit and savings business, and began formally to exercise central bank functions and powers by conducting macro-control and supervision over the</w:t>
      </w:r>
      <w:r w:rsidRPr="00C40532">
        <w:rPr>
          <w:rStyle w:val="apple-converted-space"/>
          <w:lang w:val="en-US"/>
        </w:rPr>
        <w:t> </w:t>
      </w:r>
      <w:r w:rsidR="00AA3725">
        <w:fldChar w:fldCharType="begin"/>
      </w:r>
      <w:r w:rsidR="00AA3725" w:rsidRPr="003E0431">
        <w:rPr>
          <w:lang w:val="en-US"/>
        </w:rPr>
        <w:instrText>HYPERLINK "https://en.wikipedia.org/wiki/Banking_in_China" \o "Banking in China"</w:instrText>
      </w:r>
      <w:r w:rsidR="00AA3725">
        <w:fldChar w:fldCharType="separate"/>
      </w:r>
      <w:r w:rsidRPr="00C40532">
        <w:rPr>
          <w:rStyle w:val="a5"/>
          <w:lang w:val="en-US"/>
        </w:rPr>
        <w:t>nation's banking system</w:t>
      </w:r>
      <w:r w:rsidR="00AA3725">
        <w:fldChar w:fldCharType="end"/>
      </w:r>
      <w:r w:rsidRPr="00C40532">
        <w:rPr>
          <w:lang w:val="en-US"/>
        </w:rPr>
        <w:t>. In 1994, the</w:t>
      </w:r>
      <w:r w:rsidRPr="00C40532">
        <w:rPr>
          <w:rStyle w:val="apple-converted-space"/>
          <w:lang w:val="en-US"/>
        </w:rPr>
        <w:t> </w:t>
      </w:r>
      <w:r w:rsidR="00AA3725">
        <w:fldChar w:fldCharType="begin"/>
      </w:r>
      <w:r w:rsidR="00AA3725" w:rsidRPr="003E0431">
        <w:rPr>
          <w:lang w:val="en-US"/>
        </w:rPr>
        <w:instrText>HYPERLINK "https://en.wikipedia.org/wiki/Industrial_and_Commercial_Bank_of_China" \o "Industrial and Commercial Bank of China"</w:instrText>
      </w:r>
      <w:r w:rsidR="00AA3725">
        <w:fldChar w:fldCharType="separate"/>
      </w:r>
      <w:r w:rsidRPr="00C40532">
        <w:rPr>
          <w:rStyle w:val="a5"/>
          <w:lang w:val="en-US"/>
        </w:rPr>
        <w:t>Industrial and Commercial Bank of China</w:t>
      </w:r>
      <w:r w:rsidR="00AA3725">
        <w:fldChar w:fldCharType="end"/>
      </w:r>
      <w:r w:rsidRPr="00C40532">
        <w:rPr>
          <w:lang w:val="en-US"/>
        </w:rPr>
        <w:t>, the</w:t>
      </w:r>
      <w:r w:rsidRPr="00C40532">
        <w:rPr>
          <w:rStyle w:val="apple-converted-space"/>
          <w:lang w:val="en-US"/>
        </w:rPr>
        <w:t> </w:t>
      </w:r>
      <w:r w:rsidR="00AA3725">
        <w:fldChar w:fldCharType="begin"/>
      </w:r>
      <w:r w:rsidR="00AA3725" w:rsidRPr="003E0431">
        <w:rPr>
          <w:lang w:val="en-US"/>
        </w:rPr>
        <w:instrText>HYPERLINK "https://en.wikipedia.org/wiki/Bank_of_China" \o "Bank of China"</w:instrText>
      </w:r>
      <w:r w:rsidR="00AA3725">
        <w:fldChar w:fldCharType="separate"/>
      </w:r>
      <w:r w:rsidRPr="00C40532">
        <w:rPr>
          <w:rStyle w:val="a5"/>
          <w:lang w:val="en-US"/>
        </w:rPr>
        <w:t>Bank of China</w:t>
      </w:r>
      <w:r w:rsidR="00AA3725">
        <w:fldChar w:fldCharType="end"/>
      </w:r>
      <w:r w:rsidRPr="00C40532">
        <w:rPr>
          <w:lang w:val="en-US"/>
        </w:rPr>
        <w:t>, the</w:t>
      </w:r>
      <w:r w:rsidRPr="00C40532">
        <w:rPr>
          <w:rStyle w:val="apple-converted-space"/>
          <w:lang w:val="en-US"/>
        </w:rPr>
        <w:t> </w:t>
      </w:r>
      <w:r w:rsidR="00AA3725">
        <w:fldChar w:fldCharType="begin"/>
      </w:r>
      <w:r w:rsidR="00AA3725" w:rsidRPr="003E0431">
        <w:rPr>
          <w:lang w:val="en-US"/>
        </w:rPr>
        <w:instrText>HYPERLINK "https://en.wikipedia.org/wiki/Agricultural_Bank_of_China" \o "Agricultural Bank of China"</w:instrText>
      </w:r>
      <w:r w:rsidR="00AA3725">
        <w:fldChar w:fldCharType="separate"/>
      </w:r>
      <w:r w:rsidRPr="00C40532">
        <w:rPr>
          <w:rStyle w:val="a5"/>
          <w:lang w:val="en-US"/>
        </w:rPr>
        <w:t>Agricultural Bank of China</w:t>
      </w:r>
      <w:r w:rsidR="00AA3725">
        <w:fldChar w:fldCharType="end"/>
      </w:r>
      <w:r w:rsidRPr="00C40532">
        <w:rPr>
          <w:rStyle w:val="apple-converted-space"/>
          <w:lang w:val="en-US"/>
        </w:rPr>
        <w:t> </w:t>
      </w:r>
      <w:r w:rsidRPr="00C40532">
        <w:rPr>
          <w:lang w:val="en-US"/>
        </w:rPr>
        <w:t>and the</w:t>
      </w:r>
      <w:r w:rsidRPr="00C40532">
        <w:rPr>
          <w:rStyle w:val="apple-converted-space"/>
          <w:lang w:val="en-US"/>
        </w:rPr>
        <w:t> </w:t>
      </w:r>
      <w:r w:rsidR="00AA3725">
        <w:fldChar w:fldCharType="begin"/>
      </w:r>
      <w:r w:rsidR="00AA3725" w:rsidRPr="003E0431">
        <w:rPr>
          <w:lang w:val="en-US"/>
        </w:rPr>
        <w:instrText>HYPERLINK "https://en.wikipedia.org/wiki/China_Construction_Bank" \o "China Construction Bank"</w:instrText>
      </w:r>
      <w:r w:rsidR="00AA3725">
        <w:fldChar w:fldCharType="separate"/>
      </w:r>
      <w:r w:rsidRPr="00C40532">
        <w:rPr>
          <w:rStyle w:val="a5"/>
          <w:lang w:val="en-US"/>
        </w:rPr>
        <w:t>China Construction Bank</w:t>
      </w:r>
      <w:r w:rsidR="00AA3725">
        <w:fldChar w:fldCharType="end"/>
      </w:r>
      <w:r w:rsidRPr="00C40532">
        <w:rPr>
          <w:rStyle w:val="apple-converted-space"/>
          <w:lang w:val="en-US"/>
        </w:rPr>
        <w:t> </w:t>
      </w:r>
      <w:r w:rsidRPr="00C40532">
        <w:rPr>
          <w:lang w:val="en-US"/>
        </w:rPr>
        <w:t>were transformed into state-owned commercial banks; and three policy-related banks were founded, namely, the</w:t>
      </w:r>
      <w:r w:rsidRPr="00C40532">
        <w:rPr>
          <w:rStyle w:val="apple-converted-space"/>
          <w:lang w:val="en-US"/>
        </w:rPr>
        <w:t> </w:t>
      </w:r>
      <w:r w:rsidR="00AA3725">
        <w:fldChar w:fldCharType="begin"/>
      </w:r>
      <w:r w:rsidR="00AA3725" w:rsidRPr="003E0431">
        <w:rPr>
          <w:lang w:val="en-US"/>
        </w:rPr>
        <w:instrText>HYPERLINK "https://en.wikipedia.org/wiki/Agricultural_Development_Bank_of_China" \o "Agricultural Development Bank of China"</w:instrText>
      </w:r>
      <w:r w:rsidR="00AA3725">
        <w:fldChar w:fldCharType="separate"/>
      </w:r>
      <w:r w:rsidRPr="00C40532">
        <w:rPr>
          <w:rStyle w:val="a5"/>
          <w:lang w:val="en-US"/>
        </w:rPr>
        <w:t>Agricultural Development Bank of China</w:t>
      </w:r>
      <w:r w:rsidR="00AA3725">
        <w:fldChar w:fldCharType="end"/>
      </w:r>
      <w:r w:rsidRPr="00C40532">
        <w:rPr>
          <w:lang w:val="en-US"/>
        </w:rPr>
        <w:t>, the</w:t>
      </w:r>
      <w:r w:rsidRPr="00C40532">
        <w:rPr>
          <w:rStyle w:val="apple-converted-space"/>
          <w:lang w:val="en-US"/>
        </w:rPr>
        <w:t> </w:t>
      </w:r>
      <w:r w:rsidR="00AA3725">
        <w:fldChar w:fldCharType="begin"/>
      </w:r>
      <w:r w:rsidR="00AA3725" w:rsidRPr="003E0431">
        <w:rPr>
          <w:lang w:val="en-US"/>
        </w:rPr>
        <w:instrText>HYPERLINK "https://en.wikipedia.org/wiki/China_Development_Bank" \o "China Development Bank"</w:instrText>
      </w:r>
      <w:r w:rsidR="00AA3725">
        <w:fldChar w:fldCharType="separate"/>
      </w:r>
      <w:r w:rsidRPr="00C40532">
        <w:rPr>
          <w:rStyle w:val="a5"/>
          <w:lang w:val="en-US"/>
        </w:rPr>
        <w:t>China Development Bank</w:t>
      </w:r>
      <w:r w:rsidR="00AA3725">
        <w:fldChar w:fldCharType="end"/>
      </w:r>
      <w:r w:rsidRPr="00C40532">
        <w:rPr>
          <w:rStyle w:val="apple-converted-space"/>
          <w:lang w:val="en-US"/>
        </w:rPr>
        <w:t> </w:t>
      </w:r>
      <w:r w:rsidRPr="00C40532">
        <w:rPr>
          <w:lang w:val="en-US"/>
        </w:rPr>
        <w:t>and the</w:t>
      </w:r>
      <w:r w:rsidRPr="00C40532">
        <w:rPr>
          <w:rStyle w:val="apple-converted-space"/>
          <w:lang w:val="en-US"/>
        </w:rPr>
        <w:t> </w:t>
      </w:r>
      <w:r w:rsidR="00AA3725">
        <w:fldChar w:fldCharType="begin"/>
      </w:r>
      <w:r w:rsidR="00AA3725" w:rsidRPr="003E0431">
        <w:rPr>
          <w:lang w:val="en-US"/>
        </w:rPr>
        <w:instrText>HYPERLINK "https://en.wikipedia.org/wiki/China_Import_and_Export_Bank" \o "China Import and Export Bank"</w:instrText>
      </w:r>
      <w:r w:rsidR="00AA3725">
        <w:fldChar w:fldCharType="separate"/>
      </w:r>
      <w:r w:rsidRPr="00C40532">
        <w:rPr>
          <w:rStyle w:val="a5"/>
          <w:lang w:val="en-US"/>
        </w:rPr>
        <w:t>China Import and Export Bank</w:t>
      </w:r>
      <w:r w:rsidR="00AA3725">
        <w:fldChar w:fldCharType="end"/>
      </w:r>
      <w:r w:rsidRPr="00C40532">
        <w:rPr>
          <w:lang w:val="en-US"/>
        </w:rPr>
        <w:t>. In 1995, the</w:t>
      </w:r>
      <w:r w:rsidRPr="00C40532">
        <w:rPr>
          <w:rStyle w:val="apple-converted-space"/>
          <w:lang w:val="en-US"/>
        </w:rPr>
        <w:t> </w:t>
      </w:r>
      <w:r w:rsidR="00AA3725">
        <w:fldChar w:fldCharType="begin"/>
      </w:r>
      <w:r w:rsidR="00AA3725" w:rsidRPr="003E0431">
        <w:rPr>
          <w:lang w:val="en-US"/>
        </w:rPr>
        <w:instrText>HYPERLINK "https://en.wikipedia.org/w/index.php?title=Commercial_Bank_Law&amp;action=edit&amp;redlink=1" \o "Commercial Bank Law (page does not exist)"</w:instrText>
      </w:r>
      <w:r w:rsidR="00AA3725">
        <w:fldChar w:fldCharType="separate"/>
      </w:r>
      <w:r w:rsidRPr="00C40532">
        <w:rPr>
          <w:rStyle w:val="a5"/>
          <w:lang w:val="en-US"/>
        </w:rPr>
        <w:t>Commercial Bank Law</w:t>
      </w:r>
      <w:r w:rsidR="00AA3725">
        <w:fldChar w:fldCharType="end"/>
      </w:r>
      <w:r w:rsidRPr="00C40532">
        <w:rPr>
          <w:rStyle w:val="apple-converted-space"/>
          <w:lang w:val="en-US"/>
        </w:rPr>
        <w:t> </w:t>
      </w:r>
      <w:r w:rsidRPr="00C40532">
        <w:rPr>
          <w:lang w:val="en-US"/>
        </w:rPr>
        <w:t>was promulgated, creating the conditions for forming the commercial bank system and organizational structure, and providing a legal basis for changing the specialized state banks to state-owned commercial banks.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Since 1996, the financial organizational system has gradually been improved; the wholly state-owned commercial banks have been transformed into modern financial enterprises handling currencies; over 120 shareholding medium and small-sized commercial banks have been set up or reorganized; and securities and insurance financial institutions have been further standardized and developed. April 2003 saw the formal establishment of the</w:t>
      </w:r>
      <w:r w:rsidRPr="00C40532">
        <w:rPr>
          <w:rStyle w:val="apple-converted-space"/>
          <w:lang w:val="en-US"/>
        </w:rPr>
        <w:t> </w:t>
      </w:r>
      <w:r w:rsidR="00AA3725">
        <w:fldChar w:fldCharType="begin"/>
      </w:r>
      <w:r w:rsidR="00AA3725" w:rsidRPr="003E0431">
        <w:rPr>
          <w:lang w:val="en-US"/>
        </w:rPr>
        <w:instrText>HYPERLINK "https://en.wikipedia.org/wiki/China_Banking_Regulatory_Commission" \o "China Banking Regulatory Commission"</w:instrText>
      </w:r>
      <w:r w:rsidR="00AA3725">
        <w:fldChar w:fldCharType="separate"/>
      </w:r>
      <w:r w:rsidRPr="00C40532">
        <w:rPr>
          <w:rStyle w:val="a5"/>
          <w:lang w:val="en-US"/>
        </w:rPr>
        <w:t>China Banking Regulatory Commission</w:t>
      </w:r>
      <w:r w:rsidR="00AA3725">
        <w:fldChar w:fldCharType="end"/>
      </w:r>
      <w:r w:rsidRPr="00C40532">
        <w:rPr>
          <w:rStyle w:val="apple-converted-space"/>
          <w:lang w:val="en-US"/>
        </w:rPr>
        <w:t> </w:t>
      </w:r>
      <w:r w:rsidRPr="00C40532">
        <w:rPr>
          <w:lang w:val="en-US"/>
        </w:rPr>
        <w:t>(CBRC). Since then, a</w:t>
      </w:r>
      <w:r w:rsidRPr="00C40532">
        <w:rPr>
          <w:rStyle w:val="apple-converted-space"/>
          <w:lang w:val="en-US"/>
        </w:rPr>
        <w:t> </w:t>
      </w:r>
      <w:r w:rsidR="00AA3725">
        <w:fldChar w:fldCharType="begin"/>
      </w:r>
      <w:r w:rsidR="00AA3725" w:rsidRPr="003E0431">
        <w:rPr>
          <w:lang w:val="en-US"/>
        </w:rPr>
        <w:instrText>HYPERLINK "https://en.wikipedia.org/wiki/Financial_regulation" \o "Financial regulation"</w:instrText>
      </w:r>
      <w:r w:rsidR="00AA3725">
        <w:fldChar w:fldCharType="separate"/>
      </w:r>
      <w:r w:rsidRPr="00C40532">
        <w:rPr>
          <w:rStyle w:val="a5"/>
          <w:lang w:val="en-US"/>
        </w:rPr>
        <w:t>financial regulatory system</w:t>
      </w:r>
      <w:r w:rsidR="00AA3725">
        <w:fldChar w:fldCharType="end"/>
      </w:r>
      <w:r w:rsidRPr="00C40532">
        <w:rPr>
          <w:rStyle w:val="apple-converted-space"/>
          <w:lang w:val="en-US"/>
        </w:rPr>
        <w:t> </w:t>
      </w:r>
      <w:r w:rsidRPr="00C40532">
        <w:rPr>
          <w:lang w:val="en-US"/>
        </w:rPr>
        <w:t>has been formed in which CBRC,</w:t>
      </w:r>
      <w:r w:rsidRPr="00C40532">
        <w:rPr>
          <w:rStyle w:val="apple-converted-space"/>
          <w:lang w:val="en-US"/>
        </w:rPr>
        <w:t> </w:t>
      </w:r>
      <w:r w:rsidR="00AA3725">
        <w:fldChar w:fldCharType="begin"/>
      </w:r>
      <w:r w:rsidR="00AA3725" w:rsidRPr="003E0431">
        <w:rPr>
          <w:lang w:val="en-US"/>
        </w:rPr>
        <w:instrText>HYPERLINK "https://en.wikipedia.org/wiki/China_Securities_Regulatory_Commission" \o "China Securities Regulatory Commission"</w:instrText>
      </w:r>
      <w:r w:rsidR="00AA3725">
        <w:fldChar w:fldCharType="separate"/>
      </w:r>
      <w:r w:rsidRPr="00C40532">
        <w:rPr>
          <w:rStyle w:val="a5"/>
          <w:lang w:val="en-US"/>
        </w:rPr>
        <w:t>China Securities Regulatory Commission</w:t>
      </w:r>
      <w:r w:rsidR="00AA3725">
        <w:fldChar w:fldCharType="end"/>
      </w:r>
      <w:r w:rsidRPr="00C40532">
        <w:rPr>
          <w:rStyle w:val="apple-converted-space"/>
          <w:lang w:val="en-US"/>
        </w:rPr>
        <w:t> </w:t>
      </w:r>
      <w:r w:rsidRPr="00C40532">
        <w:rPr>
          <w:lang w:val="en-US"/>
        </w:rPr>
        <w:t>(CSRC) and</w:t>
      </w:r>
      <w:r w:rsidRPr="00C40532">
        <w:rPr>
          <w:rStyle w:val="apple-converted-space"/>
          <w:lang w:val="en-US"/>
        </w:rPr>
        <w:t> </w:t>
      </w:r>
      <w:r w:rsidR="00AA3725">
        <w:fldChar w:fldCharType="begin"/>
      </w:r>
      <w:r w:rsidR="00AA3725" w:rsidRPr="003E0431">
        <w:rPr>
          <w:lang w:val="en-US"/>
        </w:rPr>
        <w:instrText>HYPERLINK "https://en.wikipedia.org/wiki/China_Insurance_Regulatory_Commission" \o "China Insurance Regulatory Commission"</w:instrText>
      </w:r>
      <w:r w:rsidR="00AA3725">
        <w:fldChar w:fldCharType="separate"/>
      </w:r>
      <w:r w:rsidRPr="00C40532">
        <w:rPr>
          <w:rStyle w:val="a5"/>
          <w:lang w:val="en-US"/>
        </w:rPr>
        <w:t>China Insurance Regulatory Commission</w:t>
      </w:r>
      <w:r w:rsidR="00AA3725">
        <w:fldChar w:fldCharType="end"/>
      </w:r>
      <w:r w:rsidRPr="00C40532">
        <w:rPr>
          <w:rStyle w:val="apple-converted-space"/>
          <w:lang w:val="en-US"/>
        </w:rPr>
        <w:t> </w:t>
      </w:r>
      <w:r w:rsidRPr="00C40532">
        <w:rPr>
          <w:lang w:val="en-US"/>
        </w:rPr>
        <w:t>(CIRC) work in coordination, each body having its own clearly defined responsibilities.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lastRenderedPageBreak/>
        <w:t>In January 2004, the State Council decided that the Bank of China and the China Construction Bank would start the experiment of transforming the</w:t>
      </w:r>
      <w:r w:rsidRPr="00C40532">
        <w:rPr>
          <w:rStyle w:val="apple-converted-space"/>
          <w:lang w:val="en-US"/>
        </w:rPr>
        <w:t> </w:t>
      </w:r>
      <w:hyperlink r:id="rId45" w:tooltip="Shareholder" w:history="1">
        <w:r w:rsidRPr="00C40532">
          <w:rPr>
            <w:rStyle w:val="a5"/>
            <w:lang w:val="en-US"/>
          </w:rPr>
          <w:t>shareholding</w:t>
        </w:r>
      </w:hyperlink>
      <w:r w:rsidRPr="00C40532">
        <w:rPr>
          <w:rStyle w:val="apple-converted-space"/>
          <w:lang w:val="en-US"/>
        </w:rPr>
        <w:t> </w:t>
      </w:r>
      <w:r w:rsidRPr="00C40532">
        <w:rPr>
          <w:lang w:val="en-US"/>
        </w:rPr>
        <w:t xml:space="preserve">system. The main tasks are to establish </w:t>
      </w:r>
      <w:proofErr w:type="gramStart"/>
      <w:r w:rsidRPr="00C40532">
        <w:rPr>
          <w:lang w:val="en-US"/>
        </w:rPr>
        <w:t>a standardized</w:t>
      </w:r>
      <w:r w:rsidRPr="00C40532">
        <w:rPr>
          <w:rStyle w:val="apple-converted-space"/>
          <w:lang w:val="en-US"/>
        </w:rPr>
        <w:t> </w:t>
      </w:r>
      <w:hyperlink r:id="rId46" w:tooltip="Corporate governance" w:history="1">
        <w:r w:rsidRPr="00C40532">
          <w:rPr>
            <w:rStyle w:val="a5"/>
            <w:lang w:val="en-US"/>
          </w:rPr>
          <w:t>corporate</w:t>
        </w:r>
        <w:proofErr w:type="gramEnd"/>
        <w:r w:rsidRPr="00C40532">
          <w:rPr>
            <w:rStyle w:val="a5"/>
            <w:lang w:val="en-US"/>
          </w:rPr>
          <w:t xml:space="preserve"> governance</w:t>
        </w:r>
      </w:hyperlink>
      <w:r w:rsidRPr="00C40532">
        <w:rPr>
          <w:rStyle w:val="apple-converted-space"/>
          <w:lang w:val="en-US"/>
        </w:rPr>
        <w:t> </w:t>
      </w:r>
      <w:r w:rsidRPr="00C40532">
        <w:rPr>
          <w:lang w:val="en-US"/>
        </w:rPr>
        <w:t>and an internal system of rights and responsibilities in accordance with the requirements for modern commercial banks; to restructure the financial system, speed up the disposal of non-performing assets and to reinforce minimum capital requirement to build up first-class modern financial enterprises. Now, six shareholding commercial banks and urban commercial banks in China have begun to accept overseas investors as shareholders.</w:t>
      </w:r>
    </w:p>
    <w:p w:rsidR="00472A60" w:rsidRPr="00C40532" w:rsidRDefault="00472A60" w:rsidP="00472A60">
      <w:pPr>
        <w:pStyle w:val="3"/>
        <w:shd w:val="clear" w:color="auto" w:fill="FFFFFF"/>
        <w:spacing w:before="0" w:line="240" w:lineRule="auto"/>
        <w:ind w:firstLine="567"/>
        <w:jc w:val="both"/>
        <w:rPr>
          <w:rFonts w:ascii="Times New Roman" w:hAnsi="Times New Roman" w:cs="Times New Roman"/>
          <w:color w:val="auto"/>
          <w:sz w:val="24"/>
          <w:szCs w:val="24"/>
          <w:lang w:val="en-US"/>
        </w:rPr>
      </w:pPr>
      <w:r w:rsidRPr="00C40532">
        <w:rPr>
          <w:rStyle w:val="mw-headline"/>
          <w:rFonts w:ascii="Times New Roman" w:hAnsi="Times New Roman" w:cs="Times New Roman"/>
          <w:color w:val="auto"/>
          <w:sz w:val="24"/>
          <w:szCs w:val="24"/>
          <w:lang w:val="en-US"/>
        </w:rPr>
        <w:t>Opening up of the financial industry</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Over the past 20-odd years</w:t>
      </w:r>
      <w:proofErr w:type="gramStart"/>
      <w:r w:rsidRPr="00C40532">
        <w:rPr>
          <w:lang w:val="en-US"/>
        </w:rPr>
        <w:t>,[</w:t>
      </w:r>
      <w:proofErr w:type="gramEnd"/>
      <w:r w:rsidRPr="00C40532">
        <w:rPr>
          <w:lang w:val="en-US"/>
        </w:rPr>
        <w:t>when?] China's financial institutions in the</w:t>
      </w:r>
      <w:r w:rsidRPr="00C40532">
        <w:rPr>
          <w:rStyle w:val="apple-converted-space"/>
          <w:lang w:val="en-US"/>
        </w:rPr>
        <w:t> </w:t>
      </w:r>
      <w:hyperlink r:id="rId47" w:tooltip="Special Economic Zone" w:history="1">
        <w:r w:rsidRPr="00C40532">
          <w:rPr>
            <w:rStyle w:val="a5"/>
            <w:lang w:val="en-US"/>
          </w:rPr>
          <w:t>Special Economic Zone</w:t>
        </w:r>
      </w:hyperlink>
      <w:r w:rsidRPr="00C40532">
        <w:rPr>
          <w:lang w:val="en-US"/>
        </w:rPr>
        <w:t>, coastal open cities and inland central cities have approved a range of wholly foreign-owned and Chinese-foreign joint venture financial institutions. Every year since 2002, China has increased the number of cities where foreign banks are allowed to handle RMB business, and within five years such banks will be allowed to handle RMB business in any city. At the end of 2004, the total assets of foreign financial institutions in China reached over US$47 billion; foreign banks were allowed to handle RMB business in 16 areas, and 62 foreign banks from 19 countries and regions set up 191 business institutions in China, of which 116 were approved to handle RMB business. There were 211 foreign bank branches in China</w:t>
      </w:r>
      <w:proofErr w:type="gramStart"/>
      <w:r w:rsidRPr="00C40532">
        <w:rPr>
          <w:lang w:val="en-US"/>
        </w:rPr>
        <w:t>.</w:t>
      </w:r>
      <w:r w:rsidRPr="00C40532">
        <w:rPr>
          <w:vertAlign w:val="superscript"/>
          <w:lang w:val="en-US"/>
        </w:rPr>
        <w:t>[</w:t>
      </w:r>
      <w:proofErr w:type="gramEnd"/>
      <w:r w:rsidR="00AA3725">
        <w:fldChar w:fldCharType="begin"/>
      </w:r>
      <w:r w:rsidR="00004B32" w:rsidRPr="003E0431">
        <w:rPr>
          <w:lang w:val="en-US"/>
        </w:rPr>
        <w:instrText>HYPERLINK "https://en.wikipedia.org/wiki/Wikipedia:Citation_needed" \o "Wikipedia:Citation needed"</w:instrText>
      </w:r>
      <w:r w:rsidR="00AA3725">
        <w:fldChar w:fldCharType="separate"/>
      </w:r>
      <w:r w:rsidRPr="00C40532">
        <w:rPr>
          <w:rStyle w:val="a5"/>
          <w:i/>
          <w:iCs/>
          <w:vertAlign w:val="superscript"/>
          <w:lang w:val="en-US"/>
        </w:rPr>
        <w:t>citation needed</w:t>
      </w:r>
      <w:r w:rsidR="00AA3725">
        <w:fldChar w:fldCharType="end"/>
      </w:r>
      <w:r w:rsidRPr="00C40532">
        <w:rPr>
          <w:vertAlign w:val="superscript"/>
          <w:lang w:val="en-US"/>
        </w:rPr>
        <w: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The</w:t>
      </w:r>
      <w:r w:rsidRPr="00C40532">
        <w:rPr>
          <w:rStyle w:val="apple-converted-space"/>
          <w:lang w:val="en-US"/>
        </w:rPr>
        <w:t> </w:t>
      </w:r>
      <w:r w:rsidR="00AA3725">
        <w:fldChar w:fldCharType="begin"/>
      </w:r>
      <w:r w:rsidR="00AA3725" w:rsidRPr="003E0431">
        <w:rPr>
          <w:lang w:val="en-US"/>
        </w:rPr>
        <w:instrText>HYPERLINK "https://en.wikipedia.org/wiki/China_Securities_Regulatory_Commission" \o "China Securities Regulatory Commission"</w:instrText>
      </w:r>
      <w:r w:rsidR="00AA3725">
        <w:fldChar w:fldCharType="separate"/>
      </w:r>
      <w:r w:rsidRPr="00C40532">
        <w:rPr>
          <w:rStyle w:val="a5"/>
          <w:lang w:val="en-US"/>
        </w:rPr>
        <w:t>CSRC</w:t>
      </w:r>
      <w:r w:rsidR="00AA3725">
        <w:fldChar w:fldCharType="end"/>
      </w:r>
      <w:r w:rsidRPr="00C40532">
        <w:rPr>
          <w:rStyle w:val="apple-converted-space"/>
          <w:lang w:val="en-US"/>
        </w:rPr>
        <w:t> </w:t>
      </w:r>
      <w:r w:rsidRPr="00C40532">
        <w:rPr>
          <w:lang w:val="en-US"/>
        </w:rPr>
        <w:t>has approved the establishment of 13 Sino-foreign</w:t>
      </w:r>
      <w:r w:rsidRPr="00C40532">
        <w:rPr>
          <w:rStyle w:val="apple-converted-space"/>
          <w:lang w:val="en-US"/>
        </w:rPr>
        <w:t> </w:t>
      </w:r>
      <w:r w:rsidR="00AA3725">
        <w:fldChar w:fldCharType="begin"/>
      </w:r>
      <w:r w:rsidR="00AA3725" w:rsidRPr="003E0431">
        <w:rPr>
          <w:lang w:val="en-US"/>
        </w:rPr>
        <w:instrText>HYPERLINK "https://en.wikipedia.org/wiki/Equity_(economics)" \o "Equity (economics)"</w:instrText>
      </w:r>
      <w:r w:rsidR="00AA3725">
        <w:fldChar w:fldCharType="separate"/>
      </w:r>
      <w:r w:rsidRPr="00C40532">
        <w:rPr>
          <w:rStyle w:val="a5"/>
          <w:lang w:val="en-US"/>
        </w:rPr>
        <w:t>equity</w:t>
      </w:r>
      <w:r w:rsidR="00AA3725">
        <w:fldChar w:fldCharType="end"/>
      </w:r>
      <w:r w:rsidRPr="00C40532">
        <w:rPr>
          <w:rStyle w:val="apple-converted-space"/>
          <w:lang w:val="en-US"/>
        </w:rPr>
        <w:t> </w:t>
      </w:r>
      <w:r w:rsidR="00AA3725">
        <w:fldChar w:fldCharType="begin"/>
      </w:r>
      <w:r w:rsidR="00AA3725" w:rsidRPr="003E0431">
        <w:rPr>
          <w:lang w:val="en-US"/>
        </w:rPr>
        <w:instrText>HYPERLINK "https://en.wikipedia.org/wiki/Joint_venture" \o "Joint venture"</w:instrText>
      </w:r>
      <w:r w:rsidR="00AA3725">
        <w:fldChar w:fldCharType="separate"/>
      </w:r>
      <w:r w:rsidRPr="00C40532">
        <w:rPr>
          <w:rStyle w:val="a5"/>
          <w:lang w:val="en-US"/>
        </w:rPr>
        <w:t>joint venture</w:t>
      </w:r>
      <w:r w:rsidR="00AA3725">
        <w:fldChar w:fldCharType="end"/>
      </w:r>
      <w:r w:rsidRPr="00C40532">
        <w:rPr>
          <w:rStyle w:val="apple-converted-space"/>
          <w:lang w:val="en-US"/>
        </w:rPr>
        <w:t> </w:t>
      </w:r>
      <w:r w:rsidR="00AA3725">
        <w:fldChar w:fldCharType="begin"/>
      </w:r>
      <w:r w:rsidR="00AA3725" w:rsidRPr="003E0431">
        <w:rPr>
          <w:lang w:val="en-US"/>
        </w:rPr>
        <w:instrText>HYPERLINK "https://en.wikipedia.org/wiki/Investment_management" \o "Investment management"</w:instrText>
      </w:r>
      <w:r w:rsidR="00AA3725">
        <w:fldChar w:fldCharType="separate"/>
      </w:r>
      <w:r w:rsidRPr="00C40532">
        <w:rPr>
          <w:rStyle w:val="a5"/>
          <w:lang w:val="en-US"/>
        </w:rPr>
        <w:t>fund management</w:t>
      </w:r>
      <w:r w:rsidR="00AA3725">
        <w:fldChar w:fldCharType="end"/>
      </w:r>
      <w:r w:rsidRPr="00C40532">
        <w:rPr>
          <w:rStyle w:val="apple-converted-space"/>
          <w:lang w:val="en-US"/>
        </w:rPr>
        <w:t> </w:t>
      </w:r>
      <w:r w:rsidR="00AA3725">
        <w:fldChar w:fldCharType="begin"/>
      </w:r>
      <w:r w:rsidR="00AA3725" w:rsidRPr="003E0431">
        <w:rPr>
          <w:lang w:val="en-US"/>
        </w:rPr>
        <w:instrText>HYPERLINK "https://en.wikipedia.org/wiki/Company" \o "Company"</w:instrText>
      </w:r>
      <w:r w:rsidR="00AA3725">
        <w:fldChar w:fldCharType="separate"/>
      </w:r>
      <w:r w:rsidRPr="00C40532">
        <w:rPr>
          <w:rStyle w:val="a5"/>
          <w:lang w:val="en-US"/>
        </w:rPr>
        <w:t>companies</w:t>
      </w:r>
      <w:r w:rsidR="00AA3725">
        <w:fldChar w:fldCharType="end"/>
      </w:r>
      <w:r w:rsidRPr="00C40532">
        <w:rPr>
          <w:lang w:val="en-US"/>
        </w:rPr>
        <w:t>, and started to formally handle the application of establishment of joint venture fund management companies with a maximum 49 percent foreign share; the</w:t>
      </w:r>
      <w:r w:rsidRPr="00C40532">
        <w:rPr>
          <w:rStyle w:val="apple-converted-space"/>
          <w:lang w:val="en-US"/>
        </w:rPr>
        <w:t> </w:t>
      </w:r>
      <w:r w:rsidR="00AA3725">
        <w:fldChar w:fldCharType="begin"/>
      </w:r>
      <w:r w:rsidR="00AA3725" w:rsidRPr="003E0431">
        <w:rPr>
          <w:lang w:val="en-US"/>
        </w:rPr>
        <w:instrText>HYPERLINK "https://en.wikipedia.org/wiki/China_Insurance_Regulatory_Commission" \o "China Insurance Regulatory Commission"</w:instrText>
      </w:r>
      <w:r w:rsidR="00AA3725">
        <w:fldChar w:fldCharType="separate"/>
      </w:r>
      <w:r w:rsidRPr="00C40532">
        <w:rPr>
          <w:rStyle w:val="a5"/>
          <w:lang w:val="en-US"/>
        </w:rPr>
        <w:t>CIRC</w:t>
      </w:r>
      <w:r w:rsidR="00AA3725">
        <w:fldChar w:fldCharType="end"/>
      </w:r>
      <w:r w:rsidRPr="00C40532">
        <w:rPr>
          <w:rStyle w:val="apple-converted-space"/>
          <w:lang w:val="en-US"/>
        </w:rPr>
        <w:t> </w:t>
      </w:r>
      <w:r w:rsidRPr="00C40532">
        <w:rPr>
          <w:lang w:val="en-US"/>
        </w:rPr>
        <w:t>declared that: from December 11, 2004 on, foreign insurance companies could handle health insurance, group insurance, life insurance and annuity insurance businesses; regional restrictions on establishing wholly foreign-funded insurance institutions were canceled and the proportion of the foreign share in joint venture insurance agencies was allowed to reach 51 percent.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Foreign banks have expanded their China-related business scope. In November 2003, the CBRC started to implement new policies, e.g., permitting foreign banks to provide RMB services to all kinds of Chinese enterprises in areas with open RMB business (previously, these banks' RMB services were restricted to foreign-funded enterprises, foreigners and people from Hong Kong, Macao and Taiwan in cities with open RMB business). The new policy also encourages qualified international strategic investors to join the restructuring and reforming of China's banking and financial institutions on a voluntary and commercial basis.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Meanwhile, all China's commercial banks have set up branches overseas, and started an international credit business. The</w:t>
      </w:r>
      <w:r w:rsidRPr="00C40532">
        <w:rPr>
          <w:rStyle w:val="apple-converted-space"/>
          <w:lang w:val="en-US"/>
        </w:rPr>
        <w:t> </w:t>
      </w:r>
      <w:r w:rsidR="00AA3725">
        <w:fldChar w:fldCharType="begin"/>
      </w:r>
      <w:r w:rsidR="00AA3725" w:rsidRPr="003E0431">
        <w:rPr>
          <w:lang w:val="en-US"/>
        </w:rPr>
        <w:instrText>HYPERLINK "https://en.wikipedia.org/wiki/Bank_of_China" \o "Bank of China"</w:instrText>
      </w:r>
      <w:r w:rsidR="00AA3725">
        <w:fldChar w:fldCharType="separate"/>
      </w:r>
      <w:r w:rsidRPr="00C40532">
        <w:rPr>
          <w:rStyle w:val="a5"/>
          <w:lang w:val="en-US"/>
        </w:rPr>
        <w:t>Bank of China</w:t>
      </w:r>
      <w:r w:rsidR="00AA3725">
        <w:fldChar w:fldCharType="end"/>
      </w:r>
      <w:r w:rsidRPr="00C40532">
        <w:rPr>
          <w:rStyle w:val="apple-converted-space"/>
          <w:lang w:val="en-US"/>
        </w:rPr>
        <w:t> </w:t>
      </w:r>
      <w:r w:rsidRPr="00C40532">
        <w:rPr>
          <w:lang w:val="en-US"/>
        </w:rPr>
        <w:t>ranks first in the number and scale of overseas outlets. In 1980, China resumed membership of the</w:t>
      </w:r>
      <w:r w:rsidRPr="00C40532">
        <w:rPr>
          <w:rStyle w:val="apple-converted-space"/>
          <w:lang w:val="en-US"/>
        </w:rPr>
        <w:t> </w:t>
      </w:r>
      <w:r w:rsidR="00AA3725">
        <w:fldChar w:fldCharType="begin"/>
      </w:r>
      <w:r w:rsidR="00AA3725" w:rsidRPr="003E0431">
        <w:rPr>
          <w:lang w:val="en-US"/>
        </w:rPr>
        <w:instrText>HYPERLINK "https://en.wikipedia.org/wiki/World_Bank" \o "World Bank"</w:instrText>
      </w:r>
      <w:r w:rsidR="00AA3725">
        <w:fldChar w:fldCharType="separate"/>
      </w:r>
      <w:r w:rsidRPr="00C40532">
        <w:rPr>
          <w:rStyle w:val="a5"/>
          <w:lang w:val="en-US"/>
        </w:rPr>
        <w:t>World Bank</w:t>
      </w:r>
      <w:r w:rsidR="00AA3725">
        <w:fldChar w:fldCharType="end"/>
      </w:r>
      <w:r w:rsidRPr="00C40532">
        <w:rPr>
          <w:lang w:val="en-US"/>
        </w:rPr>
        <w:t>, and returned to the</w:t>
      </w:r>
      <w:r w:rsidRPr="00C40532">
        <w:rPr>
          <w:rStyle w:val="apple-converted-space"/>
          <w:lang w:val="en-US"/>
        </w:rPr>
        <w:t> </w:t>
      </w:r>
      <w:r w:rsidR="00AA3725">
        <w:fldChar w:fldCharType="begin"/>
      </w:r>
      <w:r w:rsidR="00AA3725" w:rsidRPr="003E0431">
        <w:rPr>
          <w:lang w:val="en-US"/>
        </w:rPr>
        <w:instrText>HYPERLINK "https://en.wikipedia.org/wiki/International_Monetary_Fund" \o "International Monetary Fund"</w:instrText>
      </w:r>
      <w:r w:rsidR="00AA3725">
        <w:fldChar w:fldCharType="separate"/>
      </w:r>
      <w:r w:rsidRPr="00C40532">
        <w:rPr>
          <w:rStyle w:val="a5"/>
          <w:lang w:val="en-US"/>
        </w:rPr>
        <w:t>International Monetary Fund</w:t>
      </w:r>
      <w:r w:rsidR="00AA3725">
        <w:fldChar w:fldCharType="end"/>
      </w:r>
      <w:r w:rsidRPr="00C40532">
        <w:rPr>
          <w:lang w:val="en-US"/>
        </w:rPr>
        <w:t>. In 1984, China started business contacts with the</w:t>
      </w:r>
      <w:r w:rsidRPr="00C40532">
        <w:rPr>
          <w:rStyle w:val="apple-converted-space"/>
          <w:lang w:val="en-US"/>
        </w:rPr>
        <w:t> </w:t>
      </w:r>
      <w:r w:rsidR="00AA3725">
        <w:fldChar w:fldCharType="begin"/>
      </w:r>
      <w:r w:rsidR="00AA3725" w:rsidRPr="003E0431">
        <w:rPr>
          <w:lang w:val="en-US"/>
        </w:rPr>
        <w:instrText>HYPERLINK "https://en.wikipedia.org/wiki/Bank_for_International_Settlements" \o "Bank for International Settlements"</w:instrText>
      </w:r>
      <w:r w:rsidR="00AA3725">
        <w:fldChar w:fldCharType="separate"/>
      </w:r>
      <w:r w:rsidRPr="00C40532">
        <w:rPr>
          <w:rStyle w:val="a5"/>
          <w:lang w:val="en-US"/>
        </w:rPr>
        <w:t>Bank for International Settlements</w:t>
      </w:r>
      <w:r w:rsidR="00AA3725">
        <w:fldChar w:fldCharType="end"/>
      </w:r>
      <w:r w:rsidRPr="00C40532">
        <w:rPr>
          <w:lang w:val="en-US"/>
        </w:rPr>
        <w:t>. In 1985, China formally joined the</w:t>
      </w:r>
      <w:r w:rsidRPr="00C40532">
        <w:rPr>
          <w:rStyle w:val="apple-converted-space"/>
          <w:lang w:val="en-US"/>
        </w:rPr>
        <w:t> </w:t>
      </w:r>
      <w:r w:rsidR="00AA3725">
        <w:fldChar w:fldCharType="begin"/>
      </w:r>
      <w:r w:rsidR="00AA3725" w:rsidRPr="003E0431">
        <w:rPr>
          <w:lang w:val="en-US"/>
        </w:rPr>
        <w:instrText>HYPERLINK "https://en.wikipedia.org/wiki/African_Development_Bank" \o "African Development Bank"</w:instrText>
      </w:r>
      <w:r w:rsidR="00AA3725">
        <w:fldChar w:fldCharType="separate"/>
      </w:r>
      <w:r w:rsidRPr="00C40532">
        <w:rPr>
          <w:rStyle w:val="a5"/>
          <w:lang w:val="en-US"/>
        </w:rPr>
        <w:t>African Development Bank</w:t>
      </w:r>
      <w:r w:rsidR="00AA3725">
        <w:fldChar w:fldCharType="end"/>
      </w:r>
      <w:r w:rsidRPr="00C40532">
        <w:rPr>
          <w:rStyle w:val="apple-converted-space"/>
          <w:lang w:val="en-US"/>
        </w:rPr>
        <w:t> </w:t>
      </w:r>
      <w:r w:rsidRPr="00C40532">
        <w:rPr>
          <w:lang w:val="en-US"/>
        </w:rPr>
        <w:t>and in 1986 formally became a member of the</w:t>
      </w:r>
      <w:r w:rsidRPr="00C40532">
        <w:rPr>
          <w:rStyle w:val="apple-converted-space"/>
          <w:lang w:val="en-US"/>
        </w:rPr>
        <w:t> </w:t>
      </w:r>
      <w:r w:rsidR="00AA3725">
        <w:fldChar w:fldCharType="begin"/>
      </w:r>
      <w:r w:rsidR="00AA3725" w:rsidRPr="003E0431">
        <w:rPr>
          <w:lang w:val="en-US"/>
        </w:rPr>
        <w:instrText>HYPERLINK "https://en.wikipedia.org/wiki/Asian_Development_Bank" \o "Asian Development Bank"</w:instrText>
      </w:r>
      <w:r w:rsidR="00AA3725">
        <w:fldChar w:fldCharType="separate"/>
      </w:r>
      <w:r w:rsidRPr="00C40532">
        <w:rPr>
          <w:rStyle w:val="a5"/>
          <w:lang w:val="en-US"/>
        </w:rPr>
        <w:t>Asian Development Bank</w:t>
      </w:r>
      <w:r w:rsidR="00AA3725">
        <w:fldChar w:fldCharType="end"/>
      </w:r>
      <w:r w:rsidRPr="00C40532">
        <w:rPr>
          <w:lang w:val="en-US"/>
        </w:rPr>
        <w:t>.</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pacing w:after="0" w:line="240" w:lineRule="auto"/>
        <w:ind w:firstLine="567"/>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3.</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budget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budgetary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China.</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China's</w:t>
      </w:r>
      <w:r w:rsidRPr="00C40532">
        <w:rPr>
          <w:rStyle w:val="apple-converted-space"/>
          <w:lang w:val="en-US"/>
        </w:rPr>
        <w:t> </w:t>
      </w:r>
      <w:r w:rsidR="00AA3725">
        <w:fldChar w:fldCharType="begin"/>
      </w:r>
      <w:r w:rsidR="00AA3725" w:rsidRPr="003E0431">
        <w:rPr>
          <w:lang w:val="en-US"/>
        </w:rPr>
        <w:instrText>HYPERLINK "https://en.wikipedia.org/wiki/Government_debt" \o "Government debt"</w:instrText>
      </w:r>
      <w:r w:rsidR="00AA3725">
        <w:fldChar w:fldCharType="separate"/>
      </w:r>
      <w:r w:rsidRPr="00C40532">
        <w:rPr>
          <w:rStyle w:val="a5"/>
          <w:lang w:val="en-US"/>
        </w:rPr>
        <w:t>government debt</w:t>
      </w:r>
      <w:r w:rsidR="00AA3725">
        <w:fldChar w:fldCharType="end"/>
      </w:r>
      <w:r w:rsidRPr="00C40532">
        <w:rPr>
          <w:rStyle w:val="apple-converted-space"/>
          <w:lang w:val="en-US"/>
        </w:rPr>
        <w:t> </w:t>
      </w:r>
      <w:r w:rsidRPr="00C40532">
        <w:rPr>
          <w:lang w:val="en-US"/>
        </w:rPr>
        <w:t>is less than 25% of</w:t>
      </w:r>
      <w:r w:rsidRPr="00C40532">
        <w:rPr>
          <w:rStyle w:val="apple-converted-space"/>
          <w:lang w:val="en-US"/>
        </w:rPr>
        <w:t> </w:t>
      </w:r>
      <w:r w:rsidR="00AA3725">
        <w:fldChar w:fldCharType="begin"/>
      </w:r>
      <w:r w:rsidR="00AA3725" w:rsidRPr="003E0431">
        <w:rPr>
          <w:lang w:val="en-US"/>
        </w:rPr>
        <w:instrText>HYPERLINK "https://en.wikipedia.org/wiki/Gross_domestic_product" \o "Gross domestic product"</w:instrText>
      </w:r>
      <w:r w:rsidR="00AA3725">
        <w:fldChar w:fldCharType="separate"/>
      </w:r>
      <w:r w:rsidRPr="00C40532">
        <w:rPr>
          <w:rStyle w:val="a5"/>
          <w:lang w:val="en-US"/>
        </w:rPr>
        <w:t>gross domestic product</w:t>
      </w:r>
      <w:r w:rsidR="00AA3725">
        <w:fldChar w:fldCharType="end"/>
      </w:r>
      <w:r w:rsidRPr="00C40532">
        <w:rPr>
          <w:rStyle w:val="apple-converted-space"/>
          <w:lang w:val="en-US"/>
        </w:rPr>
        <w:t> </w:t>
      </w:r>
      <w:r w:rsidRPr="00C40532">
        <w:rPr>
          <w:lang w:val="en-US"/>
        </w:rPr>
        <w:t>(about 22.10% in 2006). (See</w:t>
      </w:r>
      <w:r w:rsidRPr="00C40532">
        <w:rPr>
          <w:rStyle w:val="apple-converted-space"/>
          <w:lang w:val="en-US"/>
        </w:rPr>
        <w:t> </w:t>
      </w:r>
      <w:r w:rsidR="00AA3725">
        <w:fldChar w:fldCharType="begin"/>
      </w:r>
      <w:r w:rsidR="00AA3725" w:rsidRPr="003E0431">
        <w:rPr>
          <w:lang w:val="en-US"/>
        </w:rPr>
        <w:instrText>HYPERLINK "https://en.wikipedia.org/wiki/List_of_countries_by_public_debt" \o "List of countries by public debt"</w:instrText>
      </w:r>
      <w:r w:rsidR="00AA3725">
        <w:fldChar w:fldCharType="separate"/>
      </w:r>
      <w:r w:rsidRPr="00C40532">
        <w:rPr>
          <w:rStyle w:val="a5"/>
          <w:i/>
          <w:iCs/>
          <w:lang w:val="en-US"/>
        </w:rPr>
        <w:t>List of countries by public debt</w:t>
      </w:r>
      <w:r w:rsidR="00AA3725">
        <w:fldChar w:fldCharType="end"/>
      </w:r>
      <w:r w:rsidRPr="00C40532">
        <w:rPr>
          <w:lang w:val="en-US"/>
        </w:rPr>
        <w: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China has a budget</w:t>
      </w:r>
      <w:r w:rsidRPr="00C40532">
        <w:rPr>
          <w:rStyle w:val="apple-converted-space"/>
          <w:lang w:val="en-US"/>
        </w:rPr>
        <w:t> </w:t>
      </w:r>
      <w:r w:rsidR="00AA3725">
        <w:fldChar w:fldCharType="begin"/>
      </w:r>
      <w:r w:rsidR="00AA3725" w:rsidRPr="003E0431">
        <w:rPr>
          <w:lang w:val="en-US"/>
        </w:rPr>
        <w:instrText>HYPERLINK "https://en.wikipedia.org/wiki/Government_budget_deficit" \o "Government budget deficit"</w:instrText>
      </w:r>
      <w:r w:rsidR="00AA3725">
        <w:fldChar w:fldCharType="separate"/>
      </w:r>
      <w:r w:rsidRPr="00C40532">
        <w:rPr>
          <w:rStyle w:val="a5"/>
          <w:lang w:val="en-US"/>
        </w:rPr>
        <w:t>deficit</w:t>
      </w:r>
      <w:r w:rsidR="00AA3725">
        <w:fldChar w:fldCharType="end"/>
      </w:r>
      <w:r w:rsidRPr="00C40532">
        <w:rPr>
          <w:rStyle w:val="apple-converted-space"/>
          <w:lang w:val="en-US"/>
        </w:rPr>
        <w:t> </w:t>
      </w:r>
      <w:r w:rsidRPr="00C40532">
        <w:rPr>
          <w:lang w:val="en-US"/>
        </w:rPr>
        <w:t>of around 1.5% of GDP. China projected a budget deficit of 295 billion yuan in 2006, down 1.7% from 2005. The overall budget deficit in 2004 was approximately US$26 billion, an amount equivalent to about 1.5% of GDP. In 2007, economic planners expect China's already small budget</w:t>
      </w:r>
      <w:r w:rsidRPr="00C40532">
        <w:rPr>
          <w:rStyle w:val="apple-converted-space"/>
          <w:lang w:val="en-US"/>
        </w:rPr>
        <w:t> </w:t>
      </w:r>
      <w:r w:rsidR="00AA3725">
        <w:fldChar w:fldCharType="begin"/>
      </w:r>
      <w:r w:rsidR="00AA3725" w:rsidRPr="003E0431">
        <w:rPr>
          <w:lang w:val="en-US"/>
        </w:rPr>
        <w:instrText>HYPERLINK "https://en.wikipedia.org/wiki/Government_budget_deficit" \o "Government budget deficit"</w:instrText>
      </w:r>
      <w:r w:rsidR="00AA3725">
        <w:fldChar w:fldCharType="separate"/>
      </w:r>
      <w:r w:rsidRPr="00C40532">
        <w:rPr>
          <w:rStyle w:val="a5"/>
          <w:lang w:val="en-US"/>
        </w:rPr>
        <w:t>deficit</w:t>
      </w:r>
      <w:r w:rsidR="00AA3725">
        <w:fldChar w:fldCharType="end"/>
      </w:r>
      <w:r w:rsidRPr="00C40532">
        <w:rPr>
          <w:rStyle w:val="apple-converted-space"/>
          <w:lang w:val="en-US"/>
        </w:rPr>
        <w:t> </w:t>
      </w:r>
      <w:r w:rsidRPr="00C40532">
        <w:rPr>
          <w:lang w:val="en-US"/>
        </w:rPr>
        <w:t>to shrink again. According to economists, this has afforded China to spend more on public services such as education and healthcare.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The</w:t>
      </w:r>
      <w:r w:rsidRPr="00C40532">
        <w:rPr>
          <w:rStyle w:val="apple-converted-space"/>
          <w:lang w:val="en-US"/>
        </w:rPr>
        <w:t> </w:t>
      </w:r>
      <w:r w:rsidR="00AA3725">
        <w:fldChar w:fldCharType="begin"/>
      </w:r>
      <w:r w:rsidR="00AA3725" w:rsidRPr="003E0431">
        <w:rPr>
          <w:lang w:val="en-US"/>
        </w:rPr>
        <w:instrText>HYPERLINK "https://en.wikipedia.org/wiki/Government_budget" \o "Government budget"</w:instrText>
      </w:r>
      <w:r w:rsidR="00AA3725">
        <w:fldChar w:fldCharType="separate"/>
      </w:r>
      <w:r w:rsidRPr="00C40532">
        <w:rPr>
          <w:rStyle w:val="a5"/>
          <w:lang w:val="en-US"/>
        </w:rPr>
        <w:t>government budget</w:t>
      </w:r>
      <w:r w:rsidR="00AA3725">
        <w:fldChar w:fldCharType="end"/>
      </w:r>
      <w:r w:rsidRPr="00C40532">
        <w:rPr>
          <w:rStyle w:val="apple-converted-space"/>
          <w:lang w:val="en-US"/>
        </w:rPr>
        <w:t> </w:t>
      </w:r>
      <w:r w:rsidRPr="00C40532">
        <w:rPr>
          <w:lang w:val="en-US"/>
        </w:rPr>
        <w:t>for 2004 was US$330.6 billion in</w:t>
      </w:r>
      <w:r w:rsidRPr="00C40532">
        <w:rPr>
          <w:rStyle w:val="apple-converted-space"/>
          <w:lang w:val="en-US"/>
        </w:rPr>
        <w:t> </w:t>
      </w:r>
      <w:r w:rsidR="00AA3725">
        <w:fldChar w:fldCharType="begin"/>
      </w:r>
      <w:r w:rsidR="00AA3725" w:rsidRPr="003E0431">
        <w:rPr>
          <w:lang w:val="en-US"/>
        </w:rPr>
        <w:instrText>HYPERLINK "https://en.wikipedia.org/wiki/Revenue" \o "Revenue"</w:instrText>
      </w:r>
      <w:r w:rsidR="00AA3725">
        <w:fldChar w:fldCharType="separate"/>
      </w:r>
      <w:r w:rsidRPr="00C40532">
        <w:rPr>
          <w:rStyle w:val="a5"/>
          <w:lang w:val="en-US"/>
        </w:rPr>
        <w:t>revenue</w:t>
      </w:r>
      <w:r w:rsidR="00AA3725">
        <w:fldChar w:fldCharType="end"/>
      </w:r>
      <w:r w:rsidRPr="00C40532">
        <w:rPr>
          <w:rStyle w:val="apple-converted-space"/>
          <w:lang w:val="en-US"/>
        </w:rPr>
        <w:t> </w:t>
      </w:r>
      <w:r w:rsidRPr="00C40532">
        <w:rPr>
          <w:lang w:val="en-US"/>
        </w:rPr>
        <w:t>and US$356.8 billion in</w:t>
      </w:r>
      <w:r w:rsidRPr="00C40532">
        <w:rPr>
          <w:rStyle w:val="apple-converted-space"/>
          <w:lang w:val="en-US"/>
        </w:rPr>
        <w:t> </w:t>
      </w:r>
      <w:r w:rsidR="00AA3725">
        <w:fldChar w:fldCharType="begin"/>
      </w:r>
      <w:r w:rsidR="00AA3725" w:rsidRPr="003E0431">
        <w:rPr>
          <w:lang w:val="en-US"/>
        </w:rPr>
        <w:instrText>HYPERLINK "https://en.wikipedia.org/wiki/Cost" \o "Cost"</w:instrText>
      </w:r>
      <w:r w:rsidR="00AA3725">
        <w:fldChar w:fldCharType="separate"/>
      </w:r>
      <w:r w:rsidRPr="00C40532">
        <w:rPr>
          <w:rStyle w:val="a5"/>
          <w:lang w:val="en-US"/>
        </w:rPr>
        <w:t>expenditures</w:t>
      </w:r>
      <w:r w:rsidR="00AA3725">
        <w:fldChar w:fldCharType="end"/>
      </w:r>
      <w:r w:rsidRPr="00C40532">
        <w:rPr>
          <w:lang w:val="en-US"/>
        </w:rPr>
        <w:t>. 95.5% of revenue was from</w:t>
      </w:r>
      <w:r w:rsidRPr="00C40532">
        <w:rPr>
          <w:rStyle w:val="apple-converted-space"/>
          <w:lang w:val="en-US"/>
        </w:rPr>
        <w:t> </w:t>
      </w:r>
      <w:r w:rsidR="00AA3725">
        <w:fldChar w:fldCharType="begin"/>
      </w:r>
      <w:r w:rsidR="00AA3725" w:rsidRPr="003E0431">
        <w:rPr>
          <w:lang w:val="en-US"/>
        </w:rPr>
        <w:instrText>HYPERLINK "https://en.wikipedia.org/wiki/Tax" \o "Tax"</w:instrText>
      </w:r>
      <w:r w:rsidR="00AA3725">
        <w:fldChar w:fldCharType="separate"/>
      </w:r>
      <w:r w:rsidRPr="00C40532">
        <w:rPr>
          <w:rStyle w:val="a5"/>
          <w:lang w:val="en-US"/>
        </w:rPr>
        <w:t>taxes</w:t>
      </w:r>
      <w:r w:rsidR="00AA3725">
        <w:fldChar w:fldCharType="end"/>
      </w:r>
      <w:r w:rsidRPr="00C40532">
        <w:rPr>
          <w:rStyle w:val="apple-converted-space"/>
          <w:lang w:val="en-US"/>
        </w:rPr>
        <w:t> </w:t>
      </w:r>
      <w:r w:rsidRPr="00C40532">
        <w:rPr>
          <w:lang w:val="en-US"/>
        </w:rPr>
        <w:t>and</w:t>
      </w:r>
      <w:r w:rsidRPr="00C40532">
        <w:rPr>
          <w:rStyle w:val="apple-converted-space"/>
          <w:lang w:val="en-US"/>
        </w:rPr>
        <w:t> </w:t>
      </w:r>
      <w:r w:rsidR="00AA3725">
        <w:fldChar w:fldCharType="begin"/>
      </w:r>
      <w:r w:rsidR="00AA3725" w:rsidRPr="003E0431">
        <w:rPr>
          <w:lang w:val="en-US"/>
        </w:rPr>
        <w:instrText>HYPERLINK "https://en.wikipedia.org/wiki/Tariff" \o "Tariff"</w:instrText>
      </w:r>
      <w:r w:rsidR="00AA3725">
        <w:fldChar w:fldCharType="separate"/>
      </w:r>
      <w:r w:rsidRPr="00C40532">
        <w:rPr>
          <w:rStyle w:val="a5"/>
          <w:lang w:val="en-US"/>
        </w:rPr>
        <w:t>tariffs</w:t>
      </w:r>
      <w:r w:rsidR="00AA3725">
        <w:fldChar w:fldCharType="end"/>
      </w:r>
      <w:r w:rsidRPr="00C40532">
        <w:rPr>
          <w:lang w:val="en-US"/>
        </w:rPr>
        <w:t>, 54.9% of which was collected by the</w:t>
      </w:r>
      <w:r w:rsidRPr="00C40532">
        <w:rPr>
          <w:rStyle w:val="apple-converted-space"/>
          <w:lang w:val="en-US"/>
        </w:rPr>
        <w:t> </w:t>
      </w:r>
      <w:r w:rsidR="00AA3725">
        <w:fldChar w:fldCharType="begin"/>
      </w:r>
      <w:r w:rsidR="00AA3725" w:rsidRPr="003E0431">
        <w:rPr>
          <w:lang w:val="en-US"/>
        </w:rPr>
        <w:instrText>HYPERLINK "https://en.wikipedia.org/wiki/Central_government" \o "Central government"</w:instrText>
      </w:r>
      <w:r w:rsidR="00AA3725">
        <w:fldChar w:fldCharType="separate"/>
      </w:r>
      <w:r w:rsidRPr="00C40532">
        <w:rPr>
          <w:rStyle w:val="a5"/>
          <w:lang w:val="en-US"/>
        </w:rPr>
        <w:t>central government</w:t>
      </w:r>
      <w:r w:rsidR="00AA3725">
        <w:fldChar w:fldCharType="end"/>
      </w:r>
      <w:r w:rsidRPr="00C40532">
        <w:rPr>
          <w:rStyle w:val="apple-converted-space"/>
          <w:lang w:val="en-US"/>
        </w:rPr>
        <w:t> </w:t>
      </w:r>
      <w:r w:rsidRPr="00C40532">
        <w:rPr>
          <w:lang w:val="en-US"/>
        </w:rPr>
        <w:t>and 45% by</w:t>
      </w:r>
      <w:r w:rsidRPr="00C40532">
        <w:rPr>
          <w:rStyle w:val="apple-converted-space"/>
          <w:lang w:val="en-US"/>
        </w:rPr>
        <w:t> </w:t>
      </w:r>
      <w:r w:rsidR="00AA3725">
        <w:fldChar w:fldCharType="begin"/>
      </w:r>
      <w:r w:rsidR="00AA3725" w:rsidRPr="003E0431">
        <w:rPr>
          <w:lang w:val="en-US"/>
        </w:rPr>
        <w:instrText>HYPERLINK "https://en.wikipedia.org/wiki/Local_government" \o "Local government"</w:instrText>
      </w:r>
      <w:r w:rsidR="00AA3725">
        <w:fldChar w:fldCharType="separate"/>
      </w:r>
      <w:r w:rsidRPr="00C40532">
        <w:rPr>
          <w:rStyle w:val="a5"/>
          <w:lang w:val="en-US"/>
        </w:rPr>
        <w:t>local government</w:t>
      </w:r>
      <w:r w:rsidR="00AA3725">
        <w:fldChar w:fldCharType="end"/>
      </w:r>
      <w:r w:rsidRPr="00C40532">
        <w:rPr>
          <w:lang w:val="en-US"/>
        </w:rPr>
        <w:t xml:space="preserve">. The expenditures were </w:t>
      </w:r>
      <w:r w:rsidRPr="00C40532">
        <w:rPr>
          <w:lang w:val="en-US"/>
        </w:rPr>
        <w:lastRenderedPageBreak/>
        <w:t>for</w:t>
      </w:r>
      <w:r w:rsidRPr="00C40532">
        <w:rPr>
          <w:rStyle w:val="apple-converted-space"/>
          <w:lang w:val="en-US"/>
        </w:rPr>
        <w:t> </w:t>
      </w:r>
      <w:r w:rsidR="00AA3725">
        <w:fldChar w:fldCharType="begin"/>
      </w:r>
      <w:r w:rsidR="00AA3725" w:rsidRPr="003E0431">
        <w:rPr>
          <w:lang w:val="en-US"/>
        </w:rPr>
        <w:instrText>HYPERLINK "https://en.wikipedia.org/wiki/Culture" \o "Culture"</w:instrText>
      </w:r>
      <w:r w:rsidR="00AA3725">
        <w:fldChar w:fldCharType="separate"/>
      </w:r>
      <w:r w:rsidRPr="00C40532">
        <w:rPr>
          <w:rStyle w:val="a5"/>
          <w:lang w:val="en-US"/>
        </w:rPr>
        <w:t>culture</w:t>
      </w:r>
      <w:r w:rsidR="00AA3725">
        <w:fldChar w:fldCharType="end"/>
      </w:r>
      <w:r w:rsidRPr="00C40532">
        <w:rPr>
          <w:lang w:val="en-US"/>
        </w:rPr>
        <w:t>,</w:t>
      </w:r>
      <w:r w:rsidRPr="00C40532">
        <w:rPr>
          <w:rStyle w:val="apple-converted-space"/>
          <w:lang w:val="en-US"/>
        </w:rPr>
        <w:t> </w:t>
      </w:r>
      <w:r w:rsidR="00AA3725">
        <w:fldChar w:fldCharType="begin"/>
      </w:r>
      <w:r w:rsidR="00AA3725" w:rsidRPr="003E0431">
        <w:rPr>
          <w:lang w:val="en-US"/>
        </w:rPr>
        <w:instrText>HYPERLINK "https://en.wikipedia.org/wiki/Education" \o "Education"</w:instrText>
      </w:r>
      <w:r w:rsidR="00AA3725">
        <w:fldChar w:fldCharType="separate"/>
      </w:r>
      <w:r w:rsidRPr="00C40532">
        <w:rPr>
          <w:rStyle w:val="a5"/>
          <w:lang w:val="en-US"/>
        </w:rPr>
        <w:t>education</w:t>
      </w:r>
      <w:r w:rsidR="00AA3725">
        <w:fldChar w:fldCharType="end"/>
      </w:r>
      <w:r w:rsidRPr="00C40532">
        <w:rPr>
          <w:lang w:val="en-US"/>
        </w:rPr>
        <w:t>,</w:t>
      </w:r>
      <w:r w:rsidRPr="00C40532">
        <w:rPr>
          <w:rStyle w:val="apple-converted-space"/>
          <w:lang w:val="en-US"/>
        </w:rPr>
        <w:t> </w:t>
      </w:r>
      <w:r w:rsidR="00AA3725">
        <w:fldChar w:fldCharType="begin"/>
      </w:r>
      <w:r w:rsidR="00AA3725" w:rsidRPr="003E0431">
        <w:rPr>
          <w:lang w:val="en-US"/>
        </w:rPr>
        <w:instrText>HYPERLINK "https://en.wikipedia.org/wiki/Science" \o "Science"</w:instrText>
      </w:r>
      <w:r w:rsidR="00AA3725">
        <w:fldChar w:fldCharType="separate"/>
      </w:r>
      <w:r w:rsidRPr="00C40532">
        <w:rPr>
          <w:rStyle w:val="a5"/>
          <w:lang w:val="en-US"/>
        </w:rPr>
        <w:t>science</w:t>
      </w:r>
      <w:r w:rsidR="00AA3725">
        <w:fldChar w:fldCharType="end"/>
      </w:r>
      <w:r w:rsidRPr="00C40532">
        <w:rPr>
          <w:lang w:val="en-US"/>
        </w:rPr>
        <w:t>, and</w:t>
      </w:r>
      <w:r w:rsidRPr="00C40532">
        <w:rPr>
          <w:rStyle w:val="apple-converted-space"/>
          <w:lang w:val="en-US"/>
        </w:rPr>
        <w:t> </w:t>
      </w:r>
      <w:r w:rsidR="00AA3725">
        <w:fldChar w:fldCharType="begin"/>
      </w:r>
      <w:r w:rsidR="00AA3725" w:rsidRPr="003E0431">
        <w:rPr>
          <w:lang w:val="en-US"/>
        </w:rPr>
        <w:instrText>HYPERLINK "https://en.wikipedia.org/wiki/Health_care" \o "Health care"</w:instrText>
      </w:r>
      <w:r w:rsidR="00AA3725">
        <w:fldChar w:fldCharType="separate"/>
      </w:r>
      <w:r w:rsidRPr="00C40532">
        <w:rPr>
          <w:rStyle w:val="a5"/>
          <w:lang w:val="en-US"/>
        </w:rPr>
        <w:t>health care</w:t>
      </w:r>
      <w:r w:rsidR="00AA3725">
        <w:fldChar w:fldCharType="end"/>
      </w:r>
      <w:r w:rsidRPr="00C40532">
        <w:rPr>
          <w:rStyle w:val="apple-converted-space"/>
          <w:lang w:val="en-US"/>
        </w:rPr>
        <w:t> </w:t>
      </w:r>
      <w:r w:rsidRPr="00C40532">
        <w:rPr>
          <w:lang w:val="en-US"/>
        </w:rPr>
        <w:t>(18%); capital</w:t>
      </w:r>
      <w:r w:rsidRPr="00C40532">
        <w:rPr>
          <w:rStyle w:val="apple-converted-space"/>
          <w:lang w:val="en-US"/>
        </w:rPr>
        <w:t> </w:t>
      </w:r>
      <w:r w:rsidR="00AA3725">
        <w:fldChar w:fldCharType="begin"/>
      </w:r>
      <w:r w:rsidR="00AA3725" w:rsidRPr="003E0431">
        <w:rPr>
          <w:lang w:val="en-US"/>
        </w:rPr>
        <w:instrText>HYPERLINK "https://en.wikipedia.org/wiki/Construction" \o "Construction"</w:instrText>
      </w:r>
      <w:r w:rsidR="00AA3725">
        <w:fldChar w:fldCharType="separate"/>
      </w:r>
      <w:r w:rsidRPr="00C40532">
        <w:rPr>
          <w:rStyle w:val="a5"/>
          <w:lang w:val="en-US"/>
        </w:rPr>
        <w:t>construction</w:t>
      </w:r>
      <w:r w:rsidR="00AA3725">
        <w:fldChar w:fldCharType="end"/>
      </w:r>
      <w:r w:rsidRPr="00C40532">
        <w:rPr>
          <w:rStyle w:val="apple-converted-space"/>
          <w:lang w:val="en-US"/>
        </w:rPr>
        <w:t> </w:t>
      </w:r>
      <w:r w:rsidRPr="00C40532">
        <w:rPr>
          <w:lang w:val="en-US"/>
        </w:rPr>
        <w:t>(12%);</w:t>
      </w:r>
      <w:r w:rsidRPr="00C40532">
        <w:rPr>
          <w:rStyle w:val="apple-converted-space"/>
          <w:lang w:val="en-US"/>
        </w:rPr>
        <w:t> </w:t>
      </w:r>
      <w:r w:rsidR="00AA3725">
        <w:fldChar w:fldCharType="begin"/>
      </w:r>
      <w:r w:rsidR="00AA3725" w:rsidRPr="003E0431">
        <w:rPr>
          <w:lang w:val="en-US"/>
        </w:rPr>
        <w:instrText>HYPERLINK "https://en.wikipedia.org/wiki/Administration_(government)" \o "Administration (government)"</w:instrText>
      </w:r>
      <w:r w:rsidR="00AA3725">
        <w:fldChar w:fldCharType="separate"/>
      </w:r>
      <w:r w:rsidRPr="00C40532">
        <w:rPr>
          <w:rStyle w:val="a5"/>
          <w:lang w:val="en-US"/>
        </w:rPr>
        <w:t>administration</w:t>
      </w:r>
      <w:r w:rsidR="00AA3725">
        <w:fldChar w:fldCharType="end"/>
      </w:r>
      <w:r w:rsidRPr="00C40532">
        <w:rPr>
          <w:rStyle w:val="apple-converted-space"/>
          <w:lang w:val="en-US"/>
        </w:rPr>
        <w:t> </w:t>
      </w:r>
      <w:r w:rsidRPr="00C40532">
        <w:rPr>
          <w:lang w:val="en-US"/>
        </w:rPr>
        <w:t>(14%);</w:t>
      </w:r>
      <w:r w:rsidRPr="00C40532">
        <w:rPr>
          <w:rStyle w:val="apple-converted-space"/>
          <w:lang w:val="en-US"/>
        </w:rPr>
        <w:t> </w:t>
      </w:r>
      <w:r w:rsidR="00AA3725">
        <w:fldChar w:fldCharType="begin"/>
      </w:r>
      <w:r w:rsidR="00AA3725" w:rsidRPr="003E0431">
        <w:rPr>
          <w:lang w:val="en-US"/>
        </w:rPr>
        <w:instrText>HYPERLINK "https://en.wikipedia.org/wiki/Defense_(military)" \o "Defense (military)"</w:instrText>
      </w:r>
      <w:r w:rsidR="00AA3725">
        <w:fldChar w:fldCharType="separate"/>
      </w:r>
      <w:r w:rsidRPr="00C40532">
        <w:rPr>
          <w:rStyle w:val="a5"/>
          <w:lang w:val="en-US"/>
        </w:rPr>
        <w:t>national defense</w:t>
      </w:r>
      <w:r w:rsidR="00AA3725">
        <w:fldChar w:fldCharType="end"/>
      </w:r>
      <w:r w:rsidRPr="00C40532">
        <w:rPr>
          <w:rStyle w:val="apple-converted-space"/>
          <w:lang w:val="en-US"/>
        </w:rPr>
        <w:t> </w:t>
      </w:r>
      <w:r w:rsidRPr="00C40532">
        <w:rPr>
          <w:lang w:val="en-US"/>
        </w:rPr>
        <w:t>(7.7%);</w:t>
      </w:r>
      <w:r w:rsidRPr="00C40532">
        <w:rPr>
          <w:rStyle w:val="apple-converted-space"/>
          <w:lang w:val="en-US"/>
        </w:rPr>
        <w:t> </w:t>
      </w:r>
      <w:r w:rsidR="00AA3725">
        <w:fldChar w:fldCharType="begin"/>
      </w:r>
      <w:r w:rsidR="00AA3725" w:rsidRPr="003E0431">
        <w:rPr>
          <w:lang w:val="en-US"/>
        </w:rPr>
        <w:instrText>HYPERLINK "https://en.wikipedia.org/wiki/Agriculture" \o "Agriculture"</w:instrText>
      </w:r>
      <w:r w:rsidR="00AA3725">
        <w:fldChar w:fldCharType="separate"/>
      </w:r>
      <w:r w:rsidRPr="00C40532">
        <w:rPr>
          <w:rStyle w:val="a5"/>
          <w:lang w:val="en-US"/>
        </w:rPr>
        <w:t>agriculture</w:t>
      </w:r>
      <w:r w:rsidR="00AA3725">
        <w:fldChar w:fldCharType="end"/>
      </w:r>
      <w:r w:rsidRPr="00C40532">
        <w:rPr>
          <w:lang w:val="en-US"/>
        </w:rPr>
        <w:t>,</w:t>
      </w:r>
      <w:r w:rsidRPr="00C40532">
        <w:rPr>
          <w:rStyle w:val="apple-converted-space"/>
          <w:lang w:val="en-US"/>
        </w:rPr>
        <w:t> </w:t>
      </w:r>
      <w:r w:rsidR="00AA3725">
        <w:fldChar w:fldCharType="begin"/>
      </w:r>
      <w:r w:rsidR="00AA3725" w:rsidRPr="003E0431">
        <w:rPr>
          <w:lang w:val="en-US"/>
        </w:rPr>
        <w:instrText>HYPERLINK "https://en.wikipedia.org/wiki/Forestry" \o "Forestry"</w:instrText>
      </w:r>
      <w:r w:rsidR="00AA3725">
        <w:fldChar w:fldCharType="separate"/>
      </w:r>
      <w:r w:rsidRPr="00C40532">
        <w:rPr>
          <w:rStyle w:val="a5"/>
          <w:lang w:val="en-US"/>
        </w:rPr>
        <w:t>forestry</w:t>
      </w:r>
      <w:r w:rsidR="00AA3725">
        <w:fldChar w:fldCharType="end"/>
      </w:r>
      <w:r w:rsidRPr="00C40532">
        <w:rPr>
          <w:lang w:val="en-US"/>
        </w:rPr>
        <w:t>, and</w:t>
      </w:r>
      <w:r w:rsidRPr="00C40532">
        <w:rPr>
          <w:rStyle w:val="apple-converted-space"/>
          <w:lang w:val="en-US"/>
        </w:rPr>
        <w:t> </w:t>
      </w:r>
      <w:r w:rsidR="00AA3725">
        <w:fldChar w:fldCharType="begin"/>
      </w:r>
      <w:r w:rsidR="00AA3725" w:rsidRPr="003E0431">
        <w:rPr>
          <w:lang w:val="en-US"/>
        </w:rPr>
        <w:instrText>HYPERLINK "https://en.wikipedia.org/wiki/Water_conservation" \o "Water conservation"</w:instrText>
      </w:r>
      <w:r w:rsidR="00AA3725">
        <w:fldChar w:fldCharType="separate"/>
      </w:r>
      <w:r w:rsidRPr="00C40532">
        <w:rPr>
          <w:rStyle w:val="a5"/>
          <w:lang w:val="en-US"/>
        </w:rPr>
        <w:t>water conservancy</w:t>
      </w:r>
      <w:r w:rsidR="00AA3725">
        <w:fldChar w:fldCharType="end"/>
      </w:r>
      <w:r w:rsidRPr="00C40532">
        <w:rPr>
          <w:rStyle w:val="apple-converted-space"/>
          <w:lang w:val="en-US"/>
        </w:rPr>
        <w:t> </w:t>
      </w:r>
      <w:r w:rsidRPr="00C40532">
        <w:rPr>
          <w:lang w:val="en-US"/>
        </w:rPr>
        <w:t>(5.9%);</w:t>
      </w:r>
      <w:r w:rsidRPr="00C40532">
        <w:rPr>
          <w:rStyle w:val="apple-converted-space"/>
          <w:lang w:val="en-US"/>
        </w:rPr>
        <w:t> </w:t>
      </w:r>
      <w:r w:rsidR="00AA3725">
        <w:fldChar w:fldCharType="begin"/>
      </w:r>
      <w:r w:rsidR="00AA3725" w:rsidRPr="003E0431">
        <w:rPr>
          <w:lang w:val="en-US"/>
        </w:rPr>
        <w:instrText>HYPERLINK "https://en.wikipedia.org/wiki/Subsidy" \o "Subsidy"</w:instrText>
      </w:r>
      <w:r w:rsidR="00AA3725">
        <w:fldChar w:fldCharType="separate"/>
      </w:r>
      <w:r w:rsidRPr="00C40532">
        <w:rPr>
          <w:rStyle w:val="a5"/>
          <w:lang w:val="en-US"/>
        </w:rPr>
        <w:t>subsidies</w:t>
      </w:r>
      <w:r w:rsidR="00AA3725">
        <w:fldChar w:fldCharType="end"/>
      </w:r>
      <w:r w:rsidRPr="00C40532">
        <w:rPr>
          <w:rStyle w:val="apple-converted-space"/>
          <w:lang w:val="en-US"/>
        </w:rPr>
        <w:t> </w:t>
      </w:r>
      <w:r w:rsidRPr="00C40532">
        <w:rPr>
          <w:lang w:val="en-US"/>
        </w:rPr>
        <w:t>to compensate for price increases (2.7%);</w:t>
      </w:r>
      <w:r w:rsidRPr="00C40532">
        <w:rPr>
          <w:rStyle w:val="apple-converted-space"/>
          <w:lang w:val="en-US"/>
        </w:rPr>
        <w:t> </w:t>
      </w:r>
      <w:r w:rsidR="00AA3725">
        <w:fldChar w:fldCharType="begin"/>
      </w:r>
      <w:r w:rsidR="00AA3725" w:rsidRPr="003E0431">
        <w:rPr>
          <w:lang w:val="en-US"/>
        </w:rPr>
        <w:instrText>HYPERLINK "https://en.wikipedia.org/wiki/Pension" \o "Pension"</w:instrText>
      </w:r>
      <w:r w:rsidR="00AA3725">
        <w:fldChar w:fldCharType="separate"/>
      </w:r>
      <w:r w:rsidRPr="00C40532">
        <w:rPr>
          <w:rStyle w:val="a5"/>
          <w:lang w:val="en-US"/>
        </w:rPr>
        <w:t>pensions</w:t>
      </w:r>
      <w:r w:rsidR="00AA3725">
        <w:fldChar w:fldCharType="end"/>
      </w:r>
      <w:r w:rsidRPr="00C40532">
        <w:rPr>
          <w:rStyle w:val="apple-converted-space"/>
          <w:lang w:val="en-US"/>
        </w:rPr>
        <w:t> </w:t>
      </w:r>
      <w:r w:rsidRPr="00C40532">
        <w:rPr>
          <w:lang w:val="en-US"/>
        </w:rPr>
        <w:t>and</w:t>
      </w:r>
      <w:r w:rsidRPr="00C40532">
        <w:rPr>
          <w:rStyle w:val="apple-converted-space"/>
          <w:lang w:val="en-US"/>
        </w:rPr>
        <w:t> </w:t>
      </w:r>
      <w:r w:rsidR="00AA3725">
        <w:fldChar w:fldCharType="begin"/>
      </w:r>
      <w:r w:rsidR="00AA3725" w:rsidRPr="003E0431">
        <w:rPr>
          <w:lang w:val="en-US"/>
        </w:rPr>
        <w:instrText>HYPERLINK "https://en.wikipedia.org/wiki/Social_welfare_provision" \o "Social welfare provision"</w:instrText>
      </w:r>
      <w:r w:rsidR="00AA3725">
        <w:fldChar w:fldCharType="separate"/>
      </w:r>
      <w:r w:rsidRPr="00C40532">
        <w:rPr>
          <w:rStyle w:val="a5"/>
          <w:lang w:val="en-US"/>
        </w:rPr>
        <w:t>social welfare provisions</w:t>
      </w:r>
      <w:r w:rsidR="00AA3725">
        <w:fldChar w:fldCharType="end"/>
      </w:r>
      <w:r w:rsidRPr="00C40532">
        <w:rPr>
          <w:rStyle w:val="apple-converted-space"/>
          <w:lang w:val="en-US"/>
        </w:rPr>
        <w:t> </w:t>
      </w:r>
      <w:r w:rsidRPr="00C40532">
        <w:rPr>
          <w:lang w:val="en-US"/>
        </w:rPr>
        <w:t>(1.9%); promotion of</w:t>
      </w:r>
      <w:r w:rsidRPr="00C40532">
        <w:rPr>
          <w:rStyle w:val="apple-converted-space"/>
          <w:lang w:val="en-US"/>
        </w:rPr>
        <w:t> </w:t>
      </w:r>
      <w:r w:rsidR="00AA3725">
        <w:fldChar w:fldCharType="begin"/>
      </w:r>
      <w:r w:rsidR="00AA3725" w:rsidRPr="003E0431">
        <w:rPr>
          <w:lang w:val="en-US"/>
        </w:rPr>
        <w:instrText>HYPERLINK "https://en.wikipedia.org/wiki/Innovation" \o "Innovation"</w:instrText>
      </w:r>
      <w:r w:rsidR="00AA3725">
        <w:fldChar w:fldCharType="separate"/>
      </w:r>
      <w:r w:rsidRPr="00C40532">
        <w:rPr>
          <w:rStyle w:val="a5"/>
          <w:lang w:val="en-US"/>
        </w:rPr>
        <w:t>innovation</w:t>
      </w:r>
      <w:r w:rsidR="00AA3725">
        <w:fldChar w:fldCharType="end"/>
      </w:r>
      <w:r w:rsidRPr="00C40532">
        <w:rPr>
          <w:lang w:val="en-US"/>
        </w:rPr>
        <w:t>,</w:t>
      </w:r>
      <w:r w:rsidRPr="00C40532">
        <w:rPr>
          <w:rStyle w:val="apple-converted-space"/>
          <w:lang w:val="en-US"/>
        </w:rPr>
        <w:t> </w:t>
      </w:r>
      <w:r w:rsidR="00AA3725">
        <w:fldChar w:fldCharType="begin"/>
      </w:r>
      <w:r w:rsidR="00AA3725" w:rsidRPr="003E0431">
        <w:rPr>
          <w:lang w:val="en-US"/>
        </w:rPr>
        <w:instrText>HYPERLINK "https://en.wikipedia.org/wiki/Science" \o "Science"</w:instrText>
      </w:r>
      <w:r w:rsidR="00AA3725">
        <w:fldChar w:fldCharType="separate"/>
      </w:r>
      <w:r w:rsidRPr="00C40532">
        <w:rPr>
          <w:rStyle w:val="a5"/>
          <w:lang w:val="en-US"/>
        </w:rPr>
        <w:t>science</w:t>
      </w:r>
      <w:r w:rsidR="00AA3725">
        <w:fldChar w:fldCharType="end"/>
      </w:r>
      <w:r w:rsidRPr="00C40532">
        <w:rPr>
          <w:lang w:val="en-US"/>
        </w:rPr>
        <w:t>, and</w:t>
      </w:r>
      <w:r w:rsidRPr="00C40532">
        <w:rPr>
          <w:rStyle w:val="apple-converted-space"/>
          <w:lang w:val="en-US"/>
        </w:rPr>
        <w:t> </w:t>
      </w:r>
      <w:r w:rsidR="00AA3725">
        <w:fldChar w:fldCharType="begin"/>
      </w:r>
      <w:r w:rsidR="00AA3725" w:rsidRPr="003E0431">
        <w:rPr>
          <w:lang w:val="en-US"/>
        </w:rPr>
        <w:instrText>HYPERLINK "https://en.wikipedia.org/wiki/Technology" \o "Technology"</w:instrText>
      </w:r>
      <w:r w:rsidR="00AA3725">
        <w:fldChar w:fldCharType="separate"/>
      </w:r>
      <w:r w:rsidRPr="00C40532">
        <w:rPr>
          <w:rStyle w:val="a5"/>
          <w:lang w:val="en-US"/>
        </w:rPr>
        <w:t>technology</w:t>
      </w:r>
      <w:r w:rsidR="00AA3725">
        <w:fldChar w:fldCharType="end"/>
      </w:r>
      <w:r w:rsidRPr="00C40532">
        <w:rPr>
          <w:rStyle w:val="apple-converted-space"/>
          <w:lang w:val="en-US"/>
        </w:rPr>
        <w:t> </w:t>
      </w:r>
      <w:r w:rsidRPr="00C40532">
        <w:rPr>
          <w:lang w:val="en-US"/>
        </w:rPr>
        <w:t>(4.3%); operating expenses of</w:t>
      </w:r>
      <w:r w:rsidRPr="00C40532">
        <w:rPr>
          <w:rStyle w:val="apple-converted-space"/>
          <w:lang w:val="en-US"/>
        </w:rPr>
        <w:t> </w:t>
      </w:r>
      <w:r w:rsidR="00AA3725">
        <w:fldChar w:fldCharType="begin"/>
      </w:r>
      <w:r w:rsidR="00AA3725" w:rsidRPr="003E0431">
        <w:rPr>
          <w:lang w:val="en-US"/>
        </w:rPr>
        <w:instrText>HYPERLINK "https://en.wikipedia.org/wiki/Industry" \o "Industry"</w:instrText>
      </w:r>
      <w:r w:rsidR="00AA3725">
        <w:fldChar w:fldCharType="separate"/>
      </w:r>
      <w:r w:rsidRPr="00C40532">
        <w:rPr>
          <w:rStyle w:val="a5"/>
          <w:lang w:val="en-US"/>
        </w:rPr>
        <w:t>industry</w:t>
      </w:r>
      <w:r w:rsidR="00AA3725">
        <w:fldChar w:fldCharType="end"/>
      </w:r>
      <w:r w:rsidRPr="00C40532">
        <w:rPr>
          <w:lang w:val="en-US"/>
        </w:rPr>
        <w:t>,</w:t>
      </w:r>
      <w:r w:rsidRPr="00C40532">
        <w:rPr>
          <w:rStyle w:val="apple-converted-space"/>
          <w:lang w:val="en-US"/>
        </w:rPr>
        <w:t> </w:t>
      </w:r>
      <w:r w:rsidR="00AA3725">
        <w:fldChar w:fldCharType="begin"/>
      </w:r>
      <w:r w:rsidR="00AA3725" w:rsidRPr="003E0431">
        <w:rPr>
          <w:lang w:val="en-US"/>
        </w:rPr>
        <w:instrText>HYPERLINK "https://en.wikipedia.org/wiki/Transport" \o "Transport"</w:instrText>
      </w:r>
      <w:r w:rsidR="00AA3725">
        <w:fldChar w:fldCharType="separate"/>
      </w:r>
      <w:r w:rsidRPr="00C40532">
        <w:rPr>
          <w:rStyle w:val="a5"/>
          <w:lang w:val="en-US"/>
        </w:rPr>
        <w:t>transport</w:t>
      </w:r>
      <w:r w:rsidR="00AA3725">
        <w:fldChar w:fldCharType="end"/>
      </w:r>
      <w:r w:rsidRPr="00C40532">
        <w:rPr>
          <w:lang w:val="en-US"/>
        </w:rPr>
        <w:t>, and</w:t>
      </w:r>
      <w:r w:rsidRPr="00C40532">
        <w:rPr>
          <w:rStyle w:val="apple-converted-space"/>
          <w:lang w:val="en-US"/>
        </w:rPr>
        <w:t> </w:t>
      </w:r>
      <w:r w:rsidR="00AA3725">
        <w:fldChar w:fldCharType="begin"/>
      </w:r>
      <w:r w:rsidR="00AA3725" w:rsidRPr="003E0431">
        <w:rPr>
          <w:lang w:val="en-US"/>
        </w:rPr>
        <w:instrText>HYPERLINK "https://en.wikipedia.org/wiki/Commerce" \o "Commerce"</w:instrText>
      </w:r>
      <w:r w:rsidR="00AA3725">
        <w:fldChar w:fldCharType="separate"/>
      </w:r>
      <w:r w:rsidRPr="00C40532">
        <w:rPr>
          <w:rStyle w:val="a5"/>
          <w:lang w:val="en-US"/>
        </w:rPr>
        <w:t>commerce</w:t>
      </w:r>
      <w:r w:rsidR="00AA3725">
        <w:fldChar w:fldCharType="end"/>
      </w:r>
      <w:r w:rsidRPr="00C40532">
        <w:rPr>
          <w:rStyle w:val="apple-converted-space"/>
          <w:lang w:val="en-US"/>
        </w:rPr>
        <w:t> </w:t>
      </w:r>
      <w:r w:rsidRPr="00C40532">
        <w:rPr>
          <w:lang w:val="en-US"/>
        </w:rPr>
        <w:t>(1.2%);</w:t>
      </w:r>
      <w:r w:rsidRPr="00C40532">
        <w:rPr>
          <w:rStyle w:val="apple-converted-space"/>
          <w:lang w:val="en-US"/>
        </w:rPr>
        <w:t> </w:t>
      </w:r>
      <w:r w:rsidR="00AA3725">
        <w:fldChar w:fldCharType="begin"/>
      </w:r>
      <w:r w:rsidR="00AA3725" w:rsidRPr="003E0431">
        <w:rPr>
          <w:lang w:val="en-US"/>
        </w:rPr>
        <w:instrText>HYPERLINK "https://en.wikipedia.org/wiki/Geology" \o "Geology"</w:instrText>
      </w:r>
      <w:r w:rsidR="00AA3725">
        <w:fldChar w:fldCharType="separate"/>
      </w:r>
      <w:r w:rsidRPr="00C40532">
        <w:rPr>
          <w:rStyle w:val="a5"/>
          <w:lang w:val="en-US"/>
        </w:rPr>
        <w:t>geological</w:t>
      </w:r>
      <w:r w:rsidR="00AA3725">
        <w:fldChar w:fldCharType="end"/>
      </w:r>
      <w:r w:rsidRPr="00C40532">
        <w:rPr>
          <w:rStyle w:val="apple-converted-space"/>
          <w:lang w:val="en-US"/>
        </w:rPr>
        <w:t> </w:t>
      </w:r>
      <w:r w:rsidR="00AA3725">
        <w:fldChar w:fldCharType="begin"/>
      </w:r>
      <w:r w:rsidR="00AA3725" w:rsidRPr="003E0431">
        <w:rPr>
          <w:lang w:val="en-US"/>
        </w:rPr>
        <w:instrText>HYPERLINK "https://en.wikipedia.org/wiki/Prospecting" \o "Prospecting"</w:instrText>
      </w:r>
      <w:r w:rsidR="00AA3725">
        <w:fldChar w:fldCharType="separate"/>
      </w:r>
      <w:r w:rsidRPr="00C40532">
        <w:rPr>
          <w:rStyle w:val="a5"/>
          <w:lang w:val="en-US"/>
        </w:rPr>
        <w:t>prospecting</w:t>
      </w:r>
      <w:r w:rsidR="00AA3725">
        <w:fldChar w:fldCharType="end"/>
      </w:r>
      <w:r w:rsidRPr="00C40532">
        <w:rPr>
          <w:rStyle w:val="apple-converted-space"/>
          <w:lang w:val="en-US"/>
        </w:rPr>
        <w:t> </w:t>
      </w:r>
      <w:r w:rsidRPr="00C40532">
        <w:rPr>
          <w:lang w:val="en-US"/>
        </w:rPr>
        <w:t>(0.4%), and other (31.9%).</w:t>
      </w:r>
    </w:p>
    <w:p w:rsidR="00472A60" w:rsidRPr="00C40532" w:rsidRDefault="00472A60" w:rsidP="00472A60">
      <w:pPr>
        <w:pStyle w:val="2"/>
        <w:shd w:val="clear" w:color="auto" w:fill="FFFFFF"/>
        <w:spacing w:before="0" w:beforeAutospacing="0" w:after="0" w:afterAutospacing="0"/>
        <w:ind w:firstLine="567"/>
        <w:jc w:val="both"/>
        <w:rPr>
          <w:b w:val="0"/>
          <w:bCs w:val="0"/>
          <w:sz w:val="24"/>
          <w:szCs w:val="24"/>
          <w:lang w:val="en-US"/>
        </w:rPr>
      </w:pPr>
      <w:r w:rsidRPr="00C40532">
        <w:rPr>
          <w:b w:val="0"/>
          <w:bCs w:val="0"/>
          <w:sz w:val="24"/>
          <w:szCs w:val="24"/>
          <w:lang w:val="en-US"/>
        </w:rPr>
        <w:t>China recorded a Government Budget deficit equal to 3.80 percent of the country's Gross Domestic Product in 2016. Government Budget in China averaged -2.03 percent of GDP from 1988 until 2016, reaching an all time high of 0.58 percent of GDP in 2007 and a record low of -3.80 percent of GDP in 2016.</w:t>
      </w:r>
    </w:p>
    <w:p w:rsidR="00472A60" w:rsidRPr="00C40532" w:rsidRDefault="00472A60" w:rsidP="00472A60">
      <w:pPr>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6046084" cy="3379026"/>
            <wp:effectExtent l="19050" t="0" r="0" b="0"/>
            <wp:docPr id="7" name="Рисунок 4" descr="China Government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ina Government Budget"/>
                    <pic:cNvPicPr>
                      <a:picLocks noChangeAspect="1" noChangeArrowheads="1"/>
                    </pic:cNvPicPr>
                  </pic:nvPicPr>
                  <pic:blipFill>
                    <a:blip r:embed="rId48" cstate="print"/>
                    <a:srcRect/>
                    <a:stretch>
                      <a:fillRect/>
                    </a:stretch>
                  </pic:blipFill>
                  <pic:spPr bwMode="auto">
                    <a:xfrm>
                      <a:off x="0" y="0"/>
                      <a:ext cx="6047482" cy="3379808"/>
                    </a:xfrm>
                    <a:prstGeom prst="rect">
                      <a:avLst/>
                    </a:prstGeom>
                    <a:noFill/>
                    <a:ln w="9525">
                      <a:noFill/>
                      <a:miter lim="800000"/>
                      <a:headEnd/>
                      <a:tailEnd/>
                    </a:ln>
                  </pic:spPr>
                </pic:pic>
              </a:graphicData>
            </a:graphic>
          </wp:inline>
        </w:drawing>
      </w:r>
    </w:p>
    <w:p w:rsidR="00472A60" w:rsidRPr="00C40532" w:rsidRDefault="00472A60" w:rsidP="00472A60">
      <w:pPr>
        <w:pStyle w:val="2"/>
        <w:shd w:val="clear" w:color="auto" w:fill="FFFFFF"/>
        <w:spacing w:before="0" w:beforeAutospacing="0" w:after="0" w:afterAutospacing="0"/>
        <w:ind w:firstLine="567"/>
        <w:jc w:val="both"/>
        <w:rPr>
          <w:b w:val="0"/>
          <w:bCs w:val="0"/>
          <w:sz w:val="24"/>
          <w:szCs w:val="24"/>
        </w:rPr>
      </w:pPr>
    </w:p>
    <w:p w:rsidR="00472A60" w:rsidRPr="00C40532" w:rsidRDefault="00472A60" w:rsidP="00472A60">
      <w:pPr>
        <w:pStyle w:val="2"/>
        <w:shd w:val="clear" w:color="auto" w:fill="FFFFFF"/>
        <w:spacing w:before="0" w:beforeAutospacing="0" w:after="0" w:afterAutospacing="0"/>
        <w:ind w:firstLine="567"/>
        <w:jc w:val="both"/>
        <w:rPr>
          <w:b w:val="0"/>
          <w:bCs w:val="0"/>
          <w:sz w:val="24"/>
          <w:szCs w:val="24"/>
        </w:rPr>
      </w:pPr>
    </w:p>
    <w:p w:rsidR="00472A60" w:rsidRPr="00C40532" w:rsidRDefault="00472A60" w:rsidP="00472A60">
      <w:pPr>
        <w:pStyle w:val="2"/>
        <w:shd w:val="clear" w:color="auto" w:fill="FFFFFF"/>
        <w:spacing w:before="0" w:beforeAutospacing="0" w:after="0" w:afterAutospacing="0"/>
        <w:ind w:firstLine="567"/>
        <w:jc w:val="both"/>
        <w:rPr>
          <w:b w:val="0"/>
          <w:bCs w:val="0"/>
          <w:sz w:val="24"/>
          <w:szCs w:val="24"/>
          <w:lang w:val="en-US"/>
        </w:rPr>
      </w:pPr>
      <w:r w:rsidRPr="00C40532">
        <w:rPr>
          <w:b w:val="0"/>
          <w:bCs w:val="0"/>
          <w:sz w:val="24"/>
          <w:szCs w:val="24"/>
          <w:lang w:val="en-US"/>
        </w:rPr>
        <w:t xml:space="preserve">China recorded a government budget surplus of 321.27 CNY HML in February of 2017. Government Budget Value in China averaged -359.67 CNY HML from 1990 until 2017, reaching an all time high of 8066.64 CNY HML in January of 2015 and a record low </w:t>
      </w:r>
      <w:proofErr w:type="gramStart"/>
      <w:r w:rsidRPr="00C40532">
        <w:rPr>
          <w:b w:val="0"/>
          <w:bCs w:val="0"/>
          <w:sz w:val="24"/>
          <w:szCs w:val="24"/>
          <w:lang w:val="en-US"/>
        </w:rPr>
        <w:t>of -15554.19 CNY HML</w:t>
      </w:r>
      <w:proofErr w:type="gramEnd"/>
      <w:r w:rsidRPr="00C40532">
        <w:rPr>
          <w:b w:val="0"/>
          <w:bCs w:val="0"/>
          <w:sz w:val="24"/>
          <w:szCs w:val="24"/>
          <w:lang w:val="en-US"/>
        </w:rPr>
        <w:t xml:space="preserve"> in December of 2013.</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lastRenderedPageBreak/>
        <w:drawing>
          <wp:inline distT="0" distB="0" distL="0" distR="0">
            <wp:extent cx="6136318" cy="3287210"/>
            <wp:effectExtent l="19050" t="0" r="0" b="0"/>
            <wp:docPr id="8" name="Рисунок 7" descr="China Government Budget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ina Government Budget Value"/>
                    <pic:cNvPicPr>
                      <a:picLocks noChangeAspect="1" noChangeArrowheads="1"/>
                    </pic:cNvPicPr>
                  </pic:nvPicPr>
                  <pic:blipFill>
                    <a:blip r:embed="rId49" cstate="print"/>
                    <a:srcRect/>
                    <a:stretch>
                      <a:fillRect/>
                    </a:stretch>
                  </pic:blipFill>
                  <pic:spPr bwMode="auto">
                    <a:xfrm>
                      <a:off x="0" y="0"/>
                      <a:ext cx="6139269" cy="3288791"/>
                    </a:xfrm>
                    <a:prstGeom prst="rect">
                      <a:avLst/>
                    </a:prstGeom>
                    <a:noFill/>
                    <a:ln w="9525">
                      <a:noFill/>
                      <a:miter lim="800000"/>
                      <a:headEnd/>
                      <a:tailEnd/>
                    </a:ln>
                  </pic:spPr>
                </pic:pic>
              </a:graphicData>
            </a:graphic>
          </wp:inline>
        </w:drawing>
      </w:r>
    </w:p>
    <w:p w:rsidR="00472A60" w:rsidRPr="00C40532" w:rsidRDefault="00472A60" w:rsidP="00472A60">
      <w:pPr>
        <w:pStyle w:val="2"/>
        <w:shd w:val="clear" w:color="auto" w:fill="FFFFFF"/>
        <w:spacing w:before="0" w:beforeAutospacing="0" w:after="0" w:afterAutospacing="0"/>
        <w:ind w:firstLine="567"/>
        <w:jc w:val="both"/>
        <w:rPr>
          <w:b w:val="0"/>
          <w:bCs w:val="0"/>
          <w:sz w:val="24"/>
          <w:szCs w:val="24"/>
        </w:rPr>
      </w:pPr>
    </w:p>
    <w:p w:rsidR="00472A60" w:rsidRPr="00C40532" w:rsidRDefault="00472A60" w:rsidP="00472A60">
      <w:pPr>
        <w:pStyle w:val="2"/>
        <w:shd w:val="clear" w:color="auto" w:fill="FFFFFF"/>
        <w:spacing w:before="0" w:beforeAutospacing="0" w:after="0" w:afterAutospacing="0"/>
        <w:ind w:firstLine="567"/>
        <w:jc w:val="both"/>
        <w:rPr>
          <w:b w:val="0"/>
          <w:bCs w:val="0"/>
          <w:sz w:val="24"/>
          <w:szCs w:val="24"/>
          <w:lang w:val="en-US"/>
        </w:rPr>
      </w:pPr>
      <w:r w:rsidRPr="00C40532">
        <w:rPr>
          <w:b w:val="0"/>
          <w:bCs w:val="0"/>
          <w:sz w:val="24"/>
          <w:szCs w:val="24"/>
          <w:lang w:val="en-US"/>
        </w:rPr>
        <w:t>China recorded a government debt equivalent to 43.90 percent of the country's Gross Domestic Product in 2015. Government Debt to GDP in China averaged 34.36 percent from 1995 until 2015, reaching an all time high of 43.90 percent in 2015 and a record low of 20.50 percent in 1997.</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noProof/>
          <w:sz w:val="24"/>
          <w:szCs w:val="24"/>
        </w:rPr>
        <w:drawing>
          <wp:inline distT="0" distB="0" distL="0" distR="0">
            <wp:extent cx="6046084" cy="3217018"/>
            <wp:effectExtent l="19050" t="0" r="0" b="0"/>
            <wp:docPr id="10" name="Рисунок 10" descr="China Government Debt to G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ina Government Debt to GDP"/>
                    <pic:cNvPicPr>
                      <a:picLocks noChangeAspect="1" noChangeArrowheads="1"/>
                    </pic:cNvPicPr>
                  </pic:nvPicPr>
                  <pic:blipFill>
                    <a:blip r:embed="rId50" cstate="print"/>
                    <a:srcRect/>
                    <a:stretch>
                      <a:fillRect/>
                    </a:stretch>
                  </pic:blipFill>
                  <pic:spPr bwMode="auto">
                    <a:xfrm>
                      <a:off x="0" y="0"/>
                      <a:ext cx="6047482" cy="3217762"/>
                    </a:xfrm>
                    <a:prstGeom prst="rect">
                      <a:avLst/>
                    </a:prstGeom>
                    <a:noFill/>
                    <a:ln w="9525">
                      <a:noFill/>
                      <a:miter lim="800000"/>
                      <a:headEnd/>
                      <a:tailEnd/>
                    </a:ln>
                  </pic:spPr>
                </pic:pic>
              </a:graphicData>
            </a:graphic>
          </wp:inline>
        </w:drawing>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p>
    <w:p w:rsidR="00472A60" w:rsidRPr="00C40532" w:rsidRDefault="00472A60" w:rsidP="00472A60">
      <w:pPr>
        <w:tabs>
          <w:tab w:val="left" w:pos="180"/>
        </w:tabs>
        <w:spacing w:after="0" w:line="240" w:lineRule="auto"/>
        <w:ind w:firstLine="567"/>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4.</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Revenues and expenditures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central</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budget</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China</w:t>
      </w:r>
      <w:r w:rsidRPr="00C40532">
        <w:rPr>
          <w:rFonts w:ascii="Times New Roman" w:hAnsi="Times New Roman" w:cs="Times New Roman"/>
          <w:b/>
          <w:sz w:val="24"/>
          <w:szCs w:val="24"/>
          <w:lang w:val="en-US"/>
        </w:rPr>
        <w:t>.</w:t>
      </w:r>
    </w:p>
    <w:p w:rsidR="00472A60" w:rsidRPr="00C40532" w:rsidRDefault="00472A60" w:rsidP="00472A60">
      <w:pPr>
        <w:pStyle w:val="2"/>
        <w:shd w:val="clear" w:color="auto" w:fill="FFFFFF"/>
        <w:spacing w:before="0" w:beforeAutospacing="0" w:after="0" w:afterAutospacing="0"/>
        <w:ind w:firstLine="567"/>
        <w:jc w:val="both"/>
        <w:rPr>
          <w:b w:val="0"/>
          <w:bCs w:val="0"/>
          <w:sz w:val="24"/>
          <w:szCs w:val="24"/>
          <w:lang w:val="en-US"/>
        </w:rPr>
      </w:pPr>
      <w:r w:rsidRPr="00C40532">
        <w:rPr>
          <w:b w:val="0"/>
          <w:bCs w:val="0"/>
          <w:sz w:val="24"/>
          <w:szCs w:val="24"/>
          <w:lang w:val="en-US"/>
        </w:rPr>
        <w:t>Government Revenues in China decreased to 11245.91 CNY HML in February from 20208.09 CNY HML in January of 2017. Government Revenues in China averaged 4073.09 CNY HML from 1990 until 2017, reaching an all time high of 20208.09 CNY HML in January of 2017 and a record low of 138.36 CNY HML in January of 1990.</w:t>
      </w:r>
    </w:p>
    <w:p w:rsidR="00472A60" w:rsidRPr="00C40532" w:rsidRDefault="00472A60" w:rsidP="00472A60">
      <w:pPr>
        <w:tabs>
          <w:tab w:val="left" w:pos="180"/>
        </w:tabs>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lastRenderedPageBreak/>
        <w:drawing>
          <wp:inline distT="0" distB="0" distL="0" distR="0">
            <wp:extent cx="6069233" cy="3610467"/>
            <wp:effectExtent l="19050" t="0" r="7717" b="0"/>
            <wp:docPr id="9" name="Рисунок 1" descr="China Government Reven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na Government Revenues"/>
                    <pic:cNvPicPr>
                      <a:picLocks noChangeAspect="1" noChangeArrowheads="1"/>
                    </pic:cNvPicPr>
                  </pic:nvPicPr>
                  <pic:blipFill>
                    <a:blip r:embed="rId51" cstate="print"/>
                    <a:srcRect/>
                    <a:stretch>
                      <a:fillRect/>
                    </a:stretch>
                  </pic:blipFill>
                  <pic:spPr bwMode="auto">
                    <a:xfrm>
                      <a:off x="0" y="0"/>
                      <a:ext cx="6070635" cy="3611301"/>
                    </a:xfrm>
                    <a:prstGeom prst="rect">
                      <a:avLst/>
                    </a:prstGeom>
                    <a:noFill/>
                    <a:ln w="9525">
                      <a:noFill/>
                      <a:miter lim="800000"/>
                      <a:headEnd/>
                      <a:tailEnd/>
                    </a:ln>
                  </pic:spPr>
                </pic:pic>
              </a:graphicData>
            </a:graphic>
          </wp:inline>
        </w:drawing>
      </w:r>
    </w:p>
    <w:p w:rsidR="00472A60" w:rsidRPr="00C40532" w:rsidRDefault="00472A60" w:rsidP="00472A60">
      <w:pPr>
        <w:tabs>
          <w:tab w:val="left" w:pos="180"/>
        </w:tabs>
        <w:spacing w:after="0" w:line="240" w:lineRule="auto"/>
        <w:ind w:firstLine="567"/>
        <w:jc w:val="both"/>
        <w:rPr>
          <w:rFonts w:ascii="Times New Roman" w:hAnsi="Times New Roman" w:cs="Times New Roman"/>
          <w:sz w:val="24"/>
          <w:szCs w:val="24"/>
        </w:rPr>
      </w:pPr>
    </w:p>
    <w:p w:rsidR="00472A60" w:rsidRPr="00C40532" w:rsidRDefault="00472A60" w:rsidP="00472A60">
      <w:pPr>
        <w:tabs>
          <w:tab w:val="left" w:pos="180"/>
        </w:tabs>
        <w:spacing w:after="0" w:line="240" w:lineRule="auto"/>
        <w:ind w:firstLine="567"/>
        <w:jc w:val="both"/>
        <w:rPr>
          <w:rFonts w:ascii="Times New Roman" w:hAnsi="Times New Roman" w:cs="Times New Roman"/>
          <w:sz w:val="24"/>
          <w:szCs w:val="24"/>
          <w:lang w:val="en-US"/>
        </w:rPr>
      </w:pPr>
    </w:p>
    <w:p w:rsidR="00472A60" w:rsidRPr="00C40532" w:rsidRDefault="00472A60" w:rsidP="00472A60">
      <w:pPr>
        <w:pStyle w:val="2"/>
        <w:shd w:val="clear" w:color="auto" w:fill="FFFFFF"/>
        <w:spacing w:before="0" w:beforeAutospacing="0" w:after="0" w:afterAutospacing="0"/>
        <w:ind w:firstLine="567"/>
        <w:jc w:val="both"/>
        <w:rPr>
          <w:b w:val="0"/>
          <w:bCs w:val="0"/>
          <w:sz w:val="24"/>
          <w:szCs w:val="24"/>
          <w:lang w:val="en-US"/>
        </w:rPr>
      </w:pPr>
      <w:r w:rsidRPr="00C40532">
        <w:rPr>
          <w:b w:val="0"/>
          <w:bCs w:val="0"/>
          <w:sz w:val="24"/>
          <w:szCs w:val="24"/>
          <w:lang w:val="en-US"/>
        </w:rPr>
        <w:t>Government Spending in China increased to 187841 CNY HML in 2016 from 175768 CNY HML in 2015. Government Spending in China averaged 21735.46 CNY HML from 1950 until 2016, reaching an all time high of 187841 CNY HML in 2016 and a record low of 68.10 CNY HML in 1950.</w:t>
      </w:r>
    </w:p>
    <w:p w:rsidR="00472A60" w:rsidRPr="00C40532" w:rsidRDefault="00472A60" w:rsidP="00472A60">
      <w:pPr>
        <w:tabs>
          <w:tab w:val="left" w:pos="180"/>
        </w:tabs>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noProof/>
          <w:sz w:val="24"/>
          <w:szCs w:val="24"/>
        </w:rPr>
        <w:drawing>
          <wp:inline distT="0" distB="0" distL="0" distR="0">
            <wp:extent cx="5940425" cy="2767680"/>
            <wp:effectExtent l="19050" t="0" r="3175" b="0"/>
            <wp:docPr id="13" name="Рисунок 13" descr="China Government Spe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ina Government Spending"/>
                    <pic:cNvPicPr>
                      <a:picLocks noChangeAspect="1" noChangeArrowheads="1"/>
                    </pic:cNvPicPr>
                  </pic:nvPicPr>
                  <pic:blipFill>
                    <a:blip r:embed="rId52" cstate="print"/>
                    <a:srcRect/>
                    <a:stretch>
                      <a:fillRect/>
                    </a:stretch>
                  </pic:blipFill>
                  <pic:spPr bwMode="auto">
                    <a:xfrm>
                      <a:off x="0" y="0"/>
                      <a:ext cx="5940425" cy="2767680"/>
                    </a:xfrm>
                    <a:prstGeom prst="rect">
                      <a:avLst/>
                    </a:prstGeom>
                    <a:noFill/>
                    <a:ln w="9525">
                      <a:noFill/>
                      <a:miter lim="800000"/>
                      <a:headEnd/>
                      <a:tailEnd/>
                    </a:ln>
                  </pic:spPr>
                </pic:pic>
              </a:graphicData>
            </a:graphic>
          </wp:inline>
        </w:drawing>
      </w:r>
    </w:p>
    <w:p w:rsidR="00472A60" w:rsidRPr="00C40532" w:rsidRDefault="00472A60" w:rsidP="00472A60">
      <w:pPr>
        <w:spacing w:after="0" w:line="240" w:lineRule="auto"/>
        <w:ind w:firstLine="567"/>
        <w:jc w:val="both"/>
        <w:rPr>
          <w:rStyle w:val="hps"/>
          <w:rFonts w:ascii="Times New Roman" w:hAnsi="Times New Roman" w:cs="Times New Roman"/>
          <w:sz w:val="24"/>
          <w:szCs w:val="24"/>
        </w:rPr>
      </w:pP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Budgetary revenue and expenditures in 2016</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General public budgets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xml:space="preserve">Revenue in China's general public budgets reached 15.955208 trillion yuan, representing 101.5 percent of the budgeted figure and an increase of 4.5 percent over 2015, after allowing for, among other things, the inclusion into general public budgets of five government-managed funds. Adding in </w:t>
      </w:r>
      <w:r w:rsidRPr="00C40532">
        <w:rPr>
          <w:lang w:val="en-US"/>
        </w:rPr>
        <w:lastRenderedPageBreak/>
        <w:t>the 727.108 billion yuan of utilized carryover and surplus funds, plus funds from other sources, this revenue totaled 16.682316 trillion yuan.</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xml:space="preserve">Expenditures in China's general public budgets reached 18.784114 trillion yuan, representing 103.9 percent of the budgeted figure and an increase of 7.4 percent after deducting local governments' utilized carryover and surplus funds and funds from other sources. Including the 78.202 billion yuan used to replenish the Central Budget Stabilization </w:t>
      </w:r>
      <w:proofErr w:type="gramStart"/>
      <w:r w:rsidRPr="00C40532">
        <w:rPr>
          <w:lang w:val="en-US"/>
        </w:rPr>
        <w:t>Fund,</w:t>
      </w:r>
      <w:proofErr w:type="gramEnd"/>
      <w:r w:rsidRPr="00C40532">
        <w:rPr>
          <w:lang w:val="en-US"/>
        </w:rPr>
        <w:t xml:space="preserve"> these expenditures totaled 18.862316 trillion yuan. Expenditures therefore exceeded revenue, leaving a deficit of 2.18 trillion yuan, which is the same as the budgeted figure.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Revenue in the central government's general public budget reached 7.235731 trillion yuan, representing 100 percent of the adjusted budgeted figure and an increase of 1.2 percent over 2015. Adding in the 100 billion yuan contributed by the Central Budget Stabilization Fund and the 31.506 billion yuan from the budgets of central government-managed funds and central government state capital operations, this revenue totaled 7.367237 trillion yuan.</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xml:space="preserve">Expenditures in the central government's general public budget amounted to 8.689035 trillion yuan (this consists of 2.7404 trillion yuan in central government expenditures and 5.948635 trillion yuan in tax rebates and transfer payments from the central to local governments), representing 99.1 percent of the adjusted budgeted figure and an increase of 4.5 percent. Adding in the 78.202 billion yuan contributed to the Central Budget Stabilization Fund, these expenditures totaled 8.767237 trillion yuan. They exceeded revenue, leaving a deficit of 1.4 trillion yuan, which is the same as the budgeted figure. Central government reserve funds budgeted for 2016 were 50 billion yuan; of this, actual expenditures accounted for 14.61 billion yuan, and the remaining 35.39 billion yuan </w:t>
      </w:r>
      <w:proofErr w:type="gramStart"/>
      <w:r w:rsidRPr="00C40532">
        <w:rPr>
          <w:lang w:val="en-US"/>
        </w:rPr>
        <w:t>was</w:t>
      </w:r>
      <w:proofErr w:type="gramEnd"/>
      <w:r w:rsidRPr="00C40532">
        <w:rPr>
          <w:lang w:val="en-US"/>
        </w:rPr>
        <w:t xml:space="preserve"> transferred in full to the Central Budget Stabilization Fund. At year end 2016, outstanding central government debt was 12.006675 trillion yuan, well within the budgeted 12.590835 trillion yuan limit. The Central Budget Stabilization Fund had a balance of 267.806 billion yuan, including 150.183 billion yuan in recovered central government carryover funds.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Revenue in local government general public budgets reached 14.668112 trillion yuan. This figure consists of 8.719477 trillion yuan in local government revenue, an increase of 7.4 percent over 2015, and 5.948635 trillion yuan in central government tax rebates and transfer payments to local governments. Adding in the additional 595.602 billion yuan of utilized carryover and surplus funds and funds from other sources, this revenue totaled 15.263714 trillion yuan. Expenditures in local government general public budgets totaled 16.043714 trillion yuan, representing an increase of 7.4 percent after deducting utilized carryover and surplus funds and funds from other sources. Total expenditures exceeded total revenue, leaving a local government deficit of 780 billion yuan, which is the same as the budgeted figure.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Implementation of main policies regarding expenditures in 2016</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Education</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established a unified benchmark for public funding per student in China's compulsory education schools. Eligible students from families with financial difficulties at regular senior secondary schools were exempted from tuition and miscellaneous fees. We funded improvements to basic conditions in more than 80,000 badly built or poorly operated schools providing compulsory education in poor areas. We established a funding system for secondary vocational schools based on student enrollment. We implemented a new budgetary appropriation system for institutions of higher learning directly under the central government. State financial assistance was granted to over 84 million students over the course of last year.</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Scientific and technological innovation</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xml:space="preserve">We improved the structure of science and technology expenditures, giving high priority to funding science and technology activities for the public interest, and increasing funding for basic research. We finished improving central government plans, special programs, and funds for funding scientific and technological advancements. We improved the mechanism ensuring stable funding for </w:t>
      </w:r>
      <w:r w:rsidRPr="00C40532">
        <w:rPr>
          <w:lang w:val="en-US"/>
        </w:rPr>
        <w:lastRenderedPageBreak/>
        <w:t>the reform and development of research institutions. We funded both systematic pilot reforms focused on all-around innovation and the development of national innovation demonstration zones. We funded efforts to promote the transfer and commercialization of scientific and technological achievements.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Social security</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Basic pension benefits for the retirees of enterprises, Party and government offices, and public institutions were increased by around 6.5 percent. We funded pilot reforms to develop at-home and community-based elderly care. Subsistence allowances for Chinese citizens were increased. We moved forward with the establishment of a sound system for providing assistance to people living in extreme poverty. We worked to ensure entitled groups received their benefits. Support was ensured for the proper settlement of demobilized military personnel. A system was put in place nationwide for granting living allowances to people with disabilities in financial difficulty and nursing subsidies to people with serious disabilities. We provided subsidies for social security programs and vocational training to encourage enterprises to employ those experiencing employment difficulties, to help workers improve their vocational skills, and to provide better public employment services.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Reform of the medical and health care system</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Annual government subsidies for basic medical insurance for rural and non-working urban residents were increased from 380 to 420 yuan per person. Pilot reforms of urban public hospitals were expanded to 200 cities and reforms were carried out in all county-level public hospitals. We funded the standardized training of 190,000 resident physicians and the first batch of 5,000 assistant general practitioners. Per capita government spending on basic public health services was raised from 40 to 45 yuan per year. We continued to fund major public health service projects to, among other things, prevent and control diseases and provide maternal and child care.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Modern agriculture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provided direct subsidies to grain growers, subsidies for purchasing superior crop varieties, and general subsidies for the purchase of agricultural supplies nationwide. We subsidized trials to shift from growing grain crops to producing soybeans on 333,300 hectares of farmland and from growing grain crops to cultivating feed crops on 400,000 hectares of cultivated land. We also subsidized trials in using systems of crop rotation and fallow land. More funds were made available for trials to restore cultivated land contaminated by heavy metals and adjust the agricultural production mix, as well as trials to deal comprehensively with the over-abstraction of groundwater in more areas.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deepened reform of the purchase and storage system for important agricultural products. The policy on the temporary purchasing and stockpiling of corn was scrapped in favor of a new mechanism for purchasing corn at market prices plus subsidies, and a system was established for subsidizing corn production. We adopted a broad range of measures to reduce excess policy-supported stockpiles of grain, cotton, and edible oil. We provided support for the initiatives to foster new agricultural operational systems. Thanks to government funding, the area of cropland covered by efficient water-saving irrigation was increased by 1.33 million hectares, and efforts toward comprehensive agricultural development saw the addition of 1.87 million hectares of high-grade cropland. We financed the extension of trials to integrate the development of primary, secondary, and tertiary industries to more rural areas, and to support the development of collective village enterprises. Around 300,000 village-level public works projects launched on the basis of decision making by villagers were completed using government awards and subsidies.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Ecological conservation</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xml:space="preserve">Funds for the prevention and control of soil pollution were launched, and funding was made available for implementing the action plan for addressing soil pollution. We allocated more funds for addressing air pollution, with the focus on tackling key areas such as pollution from coal burning and industrial pollution. We continued to develop a reserve of projects for addressing water </w:t>
      </w:r>
      <w:r w:rsidRPr="00C40532">
        <w:rPr>
          <w:lang w:val="en-US"/>
        </w:rPr>
        <w:lastRenderedPageBreak/>
        <w:t>pollution, making additional funding available for the prevention and control of water pollution in key areas and major drainage basins. We launched a new round of policies to subsidize and reward grassland ecological conservation, covering 254.07 million hectares of grassland. We provided financial support for implementation of a new round of initiatives to turn a further 1.01 million hectares of marginal farmland into forest or grassland. We funded the implementation of the protective policies for all natural forests nationwide. We made funding available for four pilot projects for ecological conservation and restoration including the Beijing-Tianjin-Hebei Water Source Conservation Area in Hebei Province. Funding was also made available for the establishment of mechanisms for trans-regional and intra-watershed compensation for ecological conservation efforts in four drainage basins including the Jiuzhoujiang River, and for action in the Blue Bay environmental improvement initiative in 18 cities.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Government support for basic housing</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funded the rebuilding of 6.06 million housing units in rundown urban areas and 3.14 million dilapidated rural houses, meeting the targets for the year for both programs. The proportion of people displaced through such programs who received monetary housing compensation rather than housing reached 48.5 percent, up 18.6 percentage points over the previous year.</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Reform and development in the cultural sector</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subsidized efforts to keep 49,871 public cultural facilities free to the public and make 1,260 public sports complexes free or inexpensive to public users. We also funded 1,791 programs to protect key national cultural relics. Support was given to encourage the creation and production of cultural products, facilitate cultural exchange with foreign countries, share Chinese culture globally, reform state-owned cultural enterprises directly under the central government, and promote the coordinated development of cultural programs and industries.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For a more detailed account of budget execution related to the above items, please refer to the Report on the Execution of the 2016 Budgets of the People's Republic of China and Its 2017 Draft Budgets in Chinese.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Overall, our fiscal operations in 2016 remained stable and achievements were made in the reform and development of public finance, which gave impetus to steady and sound economic and social development. We owe these achievements to the leadership of the CPC Central Committee and the State Council; to the oversight and guidance of the NPC, deputies to the NPC, the CPPCC National Committee and its members; and to the joint efforts of all regions, government departments, and the Chinese people.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On the other hand, we are soberly aware of the following main difficulties and problems in our fiscal operations and finance work.</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Within the context of considerable downward pressure on China's economy, there is a lack of impetus for government revenue growth and the growth prospects of local government revenue are mixed; imbalances in government revenue and expenditures are becoming more pronounced in some regions that are resource-dependent or whose traditional industries have a large share in their respective economies; and some township-level governments are having financial difficulty in keeping themselves operating and meeting people's basic needs.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The structure of budgetary spending is not balanced, with spending on some items constantly increasing.</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Some reform measures have not truly been implemented as they should while for others progress has been slow.</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The management of transfer payments is in urgent need of standardization as special transfer payments have yet to be overhauled to full effect, and progress in the reform of the transfer payment systems at and below the provincial level has been patchy.</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In some localities, budgets and final accounts lack transparency, the use of government funds is not in line with standards and ineffective, and more funds are becoming idle.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lastRenderedPageBreak/>
        <w:t xml:space="preserve">-- Some localities are weak on government debt management and </w:t>
      </w:r>
      <w:proofErr w:type="gramStart"/>
      <w:r w:rsidRPr="00C40532">
        <w:rPr>
          <w:lang w:val="en-US"/>
        </w:rPr>
        <w:t>are</w:t>
      </w:r>
      <w:proofErr w:type="gramEnd"/>
      <w:r w:rsidRPr="00C40532">
        <w:rPr>
          <w:lang w:val="en-US"/>
        </w:rPr>
        <w:t xml:space="preserve"> guarantying debt or making borrowings in breach of regulations, thus increasing the hidden debt-related risks of local governments.</w:t>
      </w:r>
    </w:p>
    <w:p w:rsidR="00472A60" w:rsidRPr="00C40532" w:rsidRDefault="00472A60" w:rsidP="00472A60">
      <w:pPr>
        <w:spacing w:after="0" w:line="240" w:lineRule="auto"/>
        <w:ind w:firstLine="567"/>
        <w:jc w:val="both"/>
        <w:rPr>
          <w:rStyle w:val="hps"/>
          <w:rFonts w:ascii="Times New Roman" w:hAnsi="Times New Roman" w:cs="Times New Roman"/>
          <w:sz w:val="24"/>
          <w:szCs w:val="24"/>
          <w:lang w:val="en-US"/>
        </w:rPr>
      </w:pPr>
    </w:p>
    <w:p w:rsidR="00472A60" w:rsidRPr="00C40532" w:rsidRDefault="00472A60" w:rsidP="00472A60">
      <w:pPr>
        <w:spacing w:after="0" w:line="240" w:lineRule="auto"/>
        <w:ind w:firstLine="567"/>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Revenues and expenditures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local budgets</w:t>
      </w:r>
      <w:r w:rsidRPr="00C40532">
        <w:rPr>
          <w:rFonts w:ascii="Times New Roman" w:hAnsi="Times New Roman" w:cs="Times New Roman"/>
          <w:b/>
          <w:sz w:val="24"/>
          <w:szCs w:val="24"/>
          <w:lang w:val="en-US"/>
        </w:rPr>
        <w:t>.</w:t>
      </w:r>
    </w:p>
    <w:p w:rsidR="00472A60" w:rsidRPr="00C40532" w:rsidRDefault="00472A60" w:rsidP="00472A60">
      <w:pPr>
        <w:spacing w:after="0" w:line="240" w:lineRule="auto"/>
        <w:ind w:firstLine="567"/>
        <w:jc w:val="both"/>
        <w:rPr>
          <w:rStyle w:val="hps"/>
          <w:rFonts w:ascii="Times New Roman" w:hAnsi="Times New Roman" w:cs="Times New Roman"/>
          <w:b/>
          <w:sz w:val="24"/>
          <w:szCs w:val="24"/>
          <w:lang w:val="en-US"/>
        </w:rPr>
      </w:pP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Draft Central and Local Budgets for 2017</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The year 2017 is an important year for implementing the 13th Five-Year Plan and continuing the supply-side structural reform. The new normal in China's economic development is becoming more evident, the fundamentals of the Chinese economy remain favorable for long-term growth, market dynamism is being unleashed, and new drivers of development continue to grow. On the other hand, factors causing instability and uncertainty in the global economy are growing markedly, and China's economy is confronted with many serious problems and difficulties.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On the fiscal front, the potential for increasing revenue exists together with factors that may cause revenue to decline. The divergence between regions in terms of revenue growth will continue. Pressure is mounting from demands for spending in key areas and on inflexible items. The imbalance between revenue and expenditure remains serious. All levels of government must tighten their belts, act as advocates for hard work, plain living, and thrift, and use more financial resources on things that bring tangible benefits to the people.</w:t>
      </w:r>
    </w:p>
    <w:p w:rsidR="00472A60" w:rsidRPr="00C40532" w:rsidRDefault="00472A60" w:rsidP="00472A60">
      <w:pPr>
        <w:pStyle w:val="a6"/>
        <w:shd w:val="clear" w:color="auto" w:fill="FFFFFF"/>
        <w:spacing w:before="0" w:beforeAutospacing="0" w:after="0" w:afterAutospacing="0"/>
        <w:ind w:firstLine="567"/>
        <w:jc w:val="both"/>
        <w:rPr>
          <w:lang w:val="en-US"/>
        </w:rPr>
      </w:pPr>
      <w:proofErr w:type="gramStart"/>
      <w:r w:rsidRPr="00C40532">
        <w:rPr>
          <w:lang w:val="en-US"/>
        </w:rPr>
        <w:t>1.The</w:t>
      </w:r>
      <w:proofErr w:type="gramEnd"/>
      <w:r w:rsidRPr="00C40532">
        <w:rPr>
          <w:lang w:val="en-US"/>
        </w:rPr>
        <w:t xml:space="preserve"> thinking and principles guiding the preparation of the 2017 budgets and public finance work</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Given the fiscal and economic situations we face, the thinking guiding the compilation of this year's budgets and public finance work is that we need to:</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Follow the leadership of the Party Central Committee with Xi Jinping at its core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Uphold the great banner of socialism with Chinese characteristics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Put into practice the guiding principles from the 18th National Party Congress and the third through sixth plenary sessions of the 18th Party Central Committee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Follow the guidance of the Deng Xiaoping Theory, the Theory of Three Represents and the Theory of Sustainable and Balanced Development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Put into effect the guiding principles from President Xi Jinping's major policy addresses and his new concepts, thoughts, and strategies related to the governance of China</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Move ahead with the plan for promoting balanced economic, political, cultural, social, and ecological progress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Implement the Four-Pronged Comprehensive Strategy*</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Continue to make progress while working to keep performance stable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Embrace and apply China's new development philosophy</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Understand, adapt to, and guide the new normal in economic development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Concentrate on raising the quality and efficiency of growth</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Ensure that macro-level policy maintains economic stability, industrial policy is targeted, micro-level policy injects dynamism into the economy, reform policy delivers results, and social policy sees that basic needs are met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Focus on advancing supply-side structural reform</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See that aggregate demand is appropriately expanded</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Strengthen guidance over expectations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Ensure that development is more driven by innovation</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Make fiscal policy more proactive and effective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Channel serious energy into cutting taxes and fees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Continue the reform of our fiscal and tax systems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Work hard to create a modern public finance system</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lastRenderedPageBreak/>
        <w:t>-- Tighten our belts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Step up efforts to improve and integrate government expenditures, ensuring spending in key areas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See dormant budgetary funds put to good use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Use government funds to greater effect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Strictly implement the Budget Law</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Raise capacity for legal compliance in the management of public finance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Strengthen management over local government debt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Prevent and defuse fiscal risks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Promote steady and healthy economic growth and social harmony and stability</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This should ensure that we greet the 19th National Party Congress with brilliant achievements.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In line with this thinking, we make sure the following principles underpin our preparation of the 2017 budgets: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First, cutting taxes and fees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should continue to implement and improve policies aimed at reducing taxes and fees -including the replacement of business tax with VAT- and introduce new measures to cut taxes and fees, further reducing the burden of businesses and making sure tax and fee cuts have positive effects on economic and social development.</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Second, continuing the reform of our fiscal and tax systems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With a view to creating a modern public finance system, we should move faster to improve the way fiscal powers and expenditure responsibilities are shared between the central and local governments, appropriately determine how they share revenue, work on improving local tax systems, and work to establish fiscal and tax systems whereby the powers, responsibilities, and interests of the central and local governments are clearly defined so that full play is given to the initiative of both.</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Third, continuing to adjust and improve our spending structure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On the basis of appropriate expenditure increases, we should work toward stopping spending on some items from constantly increasing and make a big push to cut general expenditures so that our limited funds are used for our priorities. We need to better meet the demands of moving ahead with supply-side structural reform and meeting the basic needs of the people.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Fourth, putting idle budgetary funds to use</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should be integrating special funds that share similar policy goals, investment directions, and modes of management, and transfer more funds from budgets for government-managed funds and state capital operations into general public budgets.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Fifth, guarding against and defusing fiscal risks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need to keep the deficit-to-GDP ratio at a reasonable level, work to impose ceilings on government debt and bring it under budgetary management, and improve mechanisms for local governments to secure financing and respond to debt-related risk emergencies. We need to give stronger financial support to regions with extremely tough conditions and administrative areas at the provincial level facing particular difficulties to ensure steady operations in their public finance.</w:t>
      </w:r>
    </w:p>
    <w:p w:rsidR="00472A60" w:rsidRPr="00C40532" w:rsidRDefault="00472A60" w:rsidP="00472A60">
      <w:pPr>
        <w:spacing w:after="0" w:line="240" w:lineRule="auto"/>
        <w:ind w:firstLine="567"/>
        <w:jc w:val="both"/>
        <w:rPr>
          <w:rStyle w:val="hps"/>
          <w:rFonts w:ascii="Times New Roman" w:hAnsi="Times New Roman" w:cs="Times New Roman"/>
          <w:sz w:val="24"/>
          <w:szCs w:val="24"/>
          <w:lang w:val="en-US"/>
        </w:rPr>
      </w:pPr>
    </w:p>
    <w:p w:rsidR="00472A60" w:rsidRPr="00C40532" w:rsidRDefault="00472A60" w:rsidP="00472A60">
      <w:pPr>
        <w:spacing w:after="0" w:line="240" w:lineRule="auto"/>
        <w:ind w:firstLine="567"/>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6.</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Specifics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tax collection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the country.</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State taxes</w:t>
      </w:r>
      <w:r w:rsidRPr="00C40532">
        <w:rPr>
          <w:rFonts w:ascii="Times New Roman" w:hAnsi="Times New Roman" w:cs="Times New Roman"/>
          <w:b/>
          <w:sz w:val="24"/>
          <w:szCs w:val="24"/>
          <w:lang w:val="en-US"/>
        </w:rPr>
        <w:t>.</w:t>
      </w:r>
      <w:proofErr w:type="gramEnd"/>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Taxes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local authorities.</w:t>
      </w:r>
      <w:proofErr w:type="gramEnd"/>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Fiscal policy for 2017 will be more proactive and we will work to implement it more effectively.</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First, continuing to cut taxes and fees in favor of enterprises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xml:space="preserve">We will improve the policy on trials to replace business tax with VAT, and ensure that tax reductions achieve a greater impact. We will halve corporate income tax for more small and micro businesses by raising annual taxable corporate income threshold from 300,000 to 500,000 yuan. The portion of spending on research and development by small and medium-sized enterprises (SMEs) </w:t>
      </w:r>
      <w:r w:rsidRPr="00C40532">
        <w:rPr>
          <w:lang w:val="en-US"/>
        </w:rPr>
        <w:lastRenderedPageBreak/>
        <w:t>that is eligible for tax deductions will be raised from 50 to 75 percent. The reduction and exemption policy on six taxes, including the land use tax on logistics companies renting township land for commodity storage facilities, expired at the end of 2016, but we will continue to implement it this year, which will reduce taxes on enterprises by approximately 350 billion yuan. We will fully overhaul government-managed funds to ensure that they are managed according to standards, cancel funds such as the urban public facility surcharges, and authorize local governments to reduce or waive payments into certain funds. We will cancel or suspend 35 central government administrative charges on enterprises, cutting these charges by another more than 50 percent, and release the lists of central and local government administrative charges to the public. We will further overhaul and exercise standard-based management of business and service fees and charges, and make an appropriate cut in the ratio of enterprise contributions to the old-age insurance, medical insurance, unemployment insurance, workers' compensation, maternity insurance, and housing provident fund schemes. All told, this will reduce fees and charges on enterprises by around 200 billion yuan this year.</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Second, keeping the deficit-to-GDP ratio at 3 percent while moderately expanding spending</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will keep the deficit-to-GDP ratio the same as last year, and allow an increase in the deficit that corresponds to GDP growth. While working to reduce taxes and fees in support of tax credit policies, the central and local governments must use appropriate revenue budgeting and put all dormant budgetary funds to good use to ensure there is no contraction in spending intensity and there is an expansion in real spending.</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Third, ensuring fiscal funding for key areas and making government spending more effective and targeted</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In using financial resources newly acquired or freed up by adjusting dormant budgetary funds, we will give preference to promoting supply-side structural reform and ensuring effective demand moderately expands. We will increase investment in key areas of work including meeting our people's basic needs, poverty alleviation, agriculture, education, and promoting ecological progress, and will further slant financial allocations to favor regions facing difficulties as well as counties and townships. We will see that government funds are used more efficiently, and strengthen fiscal capacity to guarantee basic public services.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In implementing proactive fiscal policy, we will endeavor to promote supply-side structural reform and give impetus to the resolution of structural imbalances in supply and demand. In our continued support for the resettlement of workers laid off from the iron, steel, and coal industries as overcapacity is cut, we will make awards and subsidies available based on the level of progress being made in resettling workers in different regions and implement and improve related policies. Regions that face bigger difficulties in resettling workers and meeting spending needs will be given greater priority in relation to resettlement awards and subsidies and relevant employment funds. We will work to prevent and defuse risks resulting from overcapacity in the coal and electricity industries.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will provide financial support for continued agricultural supply-side structural reform. We will strive to see that the financial sector serves the real economy more efficiently, and more credit flows into the real economy. We will fully leverage the role of funds for promoting industrial transformation and upgrading to support smart manufacturing, green manufacturing, initiatives to build robust foundations for industry development, and the development of manufacturing innovation hubs, and to speed up implementation of the Made in China 2025 strategy.</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 xml:space="preserve">We will make the funds available for implementation of the development plan for China's strategic emerging industries in the 13th Five-Year Plan period (2016-2020), giving impetus to the growth of strategic emerging industries including energy conservation and environmental protection, next-generation information technology, and high-end equipment manufacturing. We will increase </w:t>
      </w:r>
      <w:r w:rsidRPr="00C40532">
        <w:rPr>
          <w:lang w:val="en-US"/>
        </w:rPr>
        <w:lastRenderedPageBreak/>
        <w:t>financial support for efforts to popularize application for first sets of key equipment, and will bring new materials under the coverage of insurance subsidies for initial applications of certain products.</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We will continue to earmark funds for the development of SMEs and finance the initiative to designate demonstration cities to act as business startup and innovation hubs for small and micro businesses. We will speed up the investment and operations of the National Fund for the Development of Small and Medium-Sized Enterprises and the National Venture Capital Guide Fund for Emerging Industries. We will continue to implement a host of tax credit policies such as those concerning the accelerated depreciation of fixed assets and maker spaces, so as to support business startups and innovations by the general public. We will step up work to pilot the construction of underground urban utility tunnels and the development of sponge cities to improve urban infrastructure. We will set up the Innovative Development Guide Fund for Trade in Services in a bid to cultivate new competitive edges in foreign trade. We will support the implementation of the three key initiatives: the Belt and Road Initiative, the coordinated development of Beijing, Tianjin and Hebei, and the development of the Yangtze River economic belt in order to promote coordinated development between regions.</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0A0C98" w:rsidRDefault="00472A60" w:rsidP="00472A60">
      <w:pPr>
        <w:spacing w:after="0" w:line="240" w:lineRule="auto"/>
        <w:ind w:firstLine="709"/>
        <w:jc w:val="both"/>
        <w:rPr>
          <w:rStyle w:val="hps"/>
          <w:rFonts w:ascii="Times New Roman" w:hAnsi="Times New Roman" w:cs="Times New Roman"/>
          <w:b/>
          <w:sz w:val="24"/>
          <w:szCs w:val="24"/>
          <w:lang w:val="en-US"/>
        </w:rPr>
      </w:pPr>
      <w:proofErr w:type="gramStart"/>
      <w:r w:rsidRPr="000A0C98">
        <w:rPr>
          <w:rStyle w:val="hps"/>
          <w:rFonts w:ascii="Times New Roman" w:hAnsi="Times New Roman" w:cs="Times New Roman"/>
          <w:b/>
          <w:sz w:val="24"/>
          <w:szCs w:val="24"/>
          <w:lang w:val="en-US"/>
        </w:rPr>
        <w:t>Theme</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11.</w:t>
      </w:r>
      <w:proofErr w:type="gramEnd"/>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The financial</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system</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Singapore</w:t>
      </w:r>
    </w:p>
    <w:p w:rsidR="00472A60" w:rsidRPr="00C40532" w:rsidRDefault="00472A60" w:rsidP="00472A60">
      <w:pPr>
        <w:spacing w:after="0" w:line="240" w:lineRule="auto"/>
        <w:ind w:firstLine="709"/>
        <w:jc w:val="both"/>
        <w:rPr>
          <w:rStyle w:val="hps"/>
          <w:rFonts w:ascii="Times New Roman" w:hAnsi="Times New Roman" w:cs="Times New Roman"/>
          <w:sz w:val="24"/>
          <w:szCs w:val="24"/>
          <w:lang w:val="en-US"/>
        </w:rPr>
      </w:pP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1.</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Singapore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miracle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economy.</w:t>
      </w:r>
      <w:r w:rsidRPr="00C40532">
        <w:rPr>
          <w:rFonts w:ascii="Times New Roman" w:hAnsi="Times New Roman" w:cs="Times New Roman"/>
          <w:sz w:val="24"/>
          <w:szCs w:val="24"/>
          <w:lang w:val="en-US"/>
        </w:rPr>
        <w:t xml:space="preserve"> </w:t>
      </w:r>
      <w:proofErr w:type="gramStart"/>
      <w:r w:rsidRPr="00C40532">
        <w:rPr>
          <w:rStyle w:val="hps"/>
          <w:rFonts w:ascii="Times New Roman" w:hAnsi="Times New Roman" w:cs="Times New Roman"/>
          <w:sz w:val="24"/>
          <w:szCs w:val="24"/>
          <w:lang w:val="en-US"/>
        </w:rPr>
        <w:t>The economic model</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Singapore.</w:t>
      </w:r>
      <w:proofErr w:type="gramEnd"/>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Financial</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sector</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 the locomotive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local economy</w:t>
      </w:r>
      <w:r w:rsidRPr="00C40532">
        <w:rPr>
          <w:rFonts w:ascii="Times New Roman" w:hAnsi="Times New Roman" w:cs="Times New Roman"/>
          <w:sz w:val="24"/>
          <w:szCs w:val="24"/>
          <w:lang w:val="en-US"/>
        </w:rPr>
        <w:t>.</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3.</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financial</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Singapore</w:t>
      </w:r>
      <w:r w:rsidRPr="00C40532">
        <w:rPr>
          <w:rFonts w:ascii="Times New Roman" w:hAnsi="Times New Roman" w:cs="Times New Roman"/>
          <w:sz w:val="24"/>
          <w:szCs w:val="24"/>
          <w:lang w:val="en-US"/>
        </w:rPr>
        <w:t>.</w:t>
      </w:r>
    </w:p>
    <w:p w:rsidR="00472A60" w:rsidRPr="00C40532" w:rsidRDefault="00472A60" w:rsidP="00472A60">
      <w:pPr>
        <w:spacing w:after="0" w:line="240" w:lineRule="auto"/>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4.</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state budget</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 the structure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costs and revenues.</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tax</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Singapore</w:t>
      </w:r>
      <w:r w:rsidRPr="00C40532">
        <w:rPr>
          <w:rFonts w:ascii="Times New Roman" w:hAnsi="Times New Roman" w:cs="Times New Roman"/>
          <w:sz w:val="24"/>
          <w:szCs w:val="24"/>
          <w:lang w:val="en-US"/>
        </w:rPr>
        <w:t>.</w:t>
      </w:r>
    </w:p>
    <w:p w:rsidR="00472A60" w:rsidRPr="00C40532" w:rsidRDefault="00472A60" w:rsidP="00472A60">
      <w:pPr>
        <w:spacing w:after="0" w:line="240" w:lineRule="auto"/>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6. Role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the development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Singapore's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economy</w:t>
      </w:r>
      <w:r w:rsidRPr="00C40532">
        <w:rPr>
          <w:rFonts w:ascii="Times New Roman" w:hAnsi="Times New Roman" w:cs="Times New Roman"/>
          <w:sz w:val="24"/>
          <w:szCs w:val="24"/>
          <w:lang w:val="en-US"/>
        </w:rPr>
        <w:t xml:space="preserve"> C</w:t>
      </w:r>
      <w:r w:rsidRPr="00C40532">
        <w:rPr>
          <w:rStyle w:val="hps"/>
          <w:rFonts w:ascii="Times New Roman" w:hAnsi="Times New Roman" w:cs="Times New Roman"/>
          <w:sz w:val="24"/>
          <w:szCs w:val="24"/>
          <w:lang w:val="en-US"/>
        </w:rPr>
        <w:t>EZ</w:t>
      </w:r>
    </w:p>
    <w:p w:rsidR="00472A60" w:rsidRPr="00C40532" w:rsidRDefault="00472A60" w:rsidP="00472A60">
      <w:pPr>
        <w:spacing w:after="0" w:line="240" w:lineRule="auto"/>
        <w:ind w:firstLine="709"/>
        <w:jc w:val="both"/>
        <w:rPr>
          <w:rStyle w:val="hps"/>
          <w:rFonts w:ascii="Times New Roman" w:hAnsi="Times New Roman" w:cs="Times New Roman"/>
          <w:sz w:val="24"/>
          <w:szCs w:val="24"/>
          <w:lang w:val="en-US"/>
        </w:rPr>
      </w:pPr>
    </w:p>
    <w:p w:rsidR="00472A60" w:rsidRPr="00C40532" w:rsidRDefault="00472A60" w:rsidP="00472A60">
      <w:pPr>
        <w:pStyle w:val="a4"/>
        <w:numPr>
          <w:ilvl w:val="0"/>
          <w:numId w:val="25"/>
        </w:numPr>
        <w:spacing w:after="0" w:line="240" w:lineRule="auto"/>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Singapore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miracle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economy.</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economic model</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Singapore.</w:t>
      </w:r>
    </w:p>
    <w:p w:rsidR="00472A60" w:rsidRPr="00C40532" w:rsidRDefault="00472A60" w:rsidP="00472A60">
      <w:pPr>
        <w:spacing w:after="0" w:line="240" w:lineRule="auto"/>
        <w:ind w:firstLine="708"/>
        <w:jc w:val="both"/>
        <w:rPr>
          <w:rFonts w:ascii="Times New Roman" w:hAnsi="Times New Roman" w:cs="Times New Roman"/>
          <w:color w:val="464646"/>
          <w:sz w:val="24"/>
          <w:szCs w:val="24"/>
          <w:lang w:val="en-US"/>
        </w:rPr>
      </w:pPr>
      <w:r w:rsidRPr="00C40532">
        <w:rPr>
          <w:rFonts w:ascii="Times New Roman" w:hAnsi="Times New Roman" w:cs="Times New Roman"/>
          <w:color w:val="464646"/>
          <w:sz w:val="24"/>
          <w:szCs w:val="24"/>
          <w:bdr w:val="none" w:sz="0" w:space="0" w:color="auto" w:frame="1"/>
          <w:lang w:val="en-US"/>
        </w:rPr>
        <w:t>The island’s success is even more remarkable when you consider the dire circumstances the newly independent state found itself in in 1965 – when it was expelled from a short-lived merger with Malaysia – what it has achieved borders on the miraculous. It is unprecedented and is unlikely to be repeated anywhere else, despite the large body of academic work devoted to trying to decipher the ‘Singapore model’.</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Singaporeans will remind you, and it seems themselves, that in 1959 when it attained self rule under Lee Kuan Yew, it was a poverty-stricken, disease-riddled little entrepôt with a polyglot population of around a million Chinese, Malays and Indians sharing atrocious living conditions and constantly bickering with each other. Singapore earned its living by processing rubber, copra and other produce from surrounding the hinterland. But its main source of income was as a British naval base and trans-shipment port.</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After independence in 1963, and with fraught relations with its neighbours, the fate of its independent economic existence seemed sealed, especially as Britain stuck to its determination to withdraw from all its possessions east of Suez.</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 xml:space="preserve">How could Singapore survive when it was no longer the centre of the wider area that the British once governed? </w:t>
      </w:r>
      <w:proofErr w:type="gramStart"/>
      <w:r w:rsidRPr="00C40532">
        <w:rPr>
          <w:color w:val="464646"/>
          <w:bdr w:val="none" w:sz="0" w:space="0" w:color="auto" w:frame="1"/>
          <w:lang w:val="en-US"/>
        </w:rPr>
        <w:t>pondered</w:t>
      </w:r>
      <w:proofErr w:type="gramEnd"/>
      <w:r w:rsidRPr="00C40532">
        <w:rPr>
          <w:color w:val="464646"/>
          <w:bdr w:val="none" w:sz="0" w:space="0" w:color="auto" w:frame="1"/>
          <w:lang w:val="en-US"/>
        </w:rPr>
        <w:t xml:space="preserve"> Lee Kuan Yew. “We had to create a new kind of economy, try new methods and schemes never tried before anywhere else in the world, because there was no other </w:t>
      </w:r>
      <w:proofErr w:type="gramStart"/>
      <w:r w:rsidRPr="00C40532">
        <w:rPr>
          <w:color w:val="464646"/>
          <w:bdr w:val="none" w:sz="0" w:space="0" w:color="auto" w:frame="1"/>
          <w:lang w:val="en-US"/>
        </w:rPr>
        <w:t>country like</w:t>
      </w:r>
      <w:proofErr w:type="gramEnd"/>
      <w:r w:rsidRPr="00C40532">
        <w:rPr>
          <w:color w:val="464646"/>
          <w:bdr w:val="none" w:sz="0" w:space="0" w:color="auto" w:frame="1"/>
          <w:lang w:val="en-US"/>
        </w:rPr>
        <w:t xml:space="preserve"> Singapore,” he writes in</w:t>
      </w:r>
      <w:r w:rsidRPr="00C40532">
        <w:rPr>
          <w:rStyle w:val="apple-converted-space"/>
          <w:color w:val="464646"/>
          <w:bdr w:val="none" w:sz="0" w:space="0" w:color="auto" w:frame="1"/>
          <w:lang w:val="en-US"/>
        </w:rPr>
        <w:t> </w:t>
      </w:r>
      <w:r w:rsidRPr="00C40532">
        <w:rPr>
          <w:rStyle w:val="a7"/>
          <w:color w:val="464646"/>
          <w:bdr w:val="none" w:sz="0" w:space="0" w:color="auto" w:frame="1"/>
          <w:lang w:val="en-US"/>
        </w:rPr>
        <w:t>From Third World to First</w:t>
      </w:r>
      <w:r w:rsidRPr="00C40532">
        <w:rPr>
          <w:color w:val="464646"/>
          <w:bdr w:val="none" w:sz="0" w:space="0" w:color="auto" w:frame="1"/>
          <w:lang w:val="en-US"/>
        </w:rPr>
        <w:t>.</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The best of all the bad options available was to industrialise. But the question remained as to how to entice investors and industrialists to set up shop in Singapore when there were so many other more attractive options around. “We cast around for solutions and were willing to try any practical idea that could create jobs and enable us to pay our way,” Lee Kuan Yew recalls.</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lastRenderedPageBreak/>
        <w:t>Analyst Tilak Abeysinghe says that what happened next was “a wonder created out of a tear drop”. The tears that the nation saw in the eyes of the then young leader Lee Kuan Yew solidified the determination of the nation to rise against all odds. The rest is history – Singapore turned its vulnerability to strength.</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Lee Kuan Yew’s highly dedicated team, led by Goh Keng Swee, considered the architect of the country’s economy, hit on what turned out to be twin strokes of genius. The first was to leapfrog the region and link up directly with the developed world – America, Europe and Japan – and attract their manufacturers to produce in Singapore and export their products to developed countries.</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The second was “to create a First World oasis in a Third World region”.</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“We had one simple guiding principle for survival,” Lee Kuan Yew says, “that Singapore had to be more rugged, better organised and more efficient than others in the region. If we were only as good as our neighbours, there was no reason for businesses to be based here.”</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He and his ministers set out to woo the US industrialists through a series of talks. The breakthough came when Texas Instruments started production of semiconductors – at that time a high-technology product – in 1968. National Semiconductors followed closely on its heels. Hewlett-Packard (HP) came onboard and General Electric set up six different facilities. By the 1980s, the country had become a major electronics exporter and by 1997 there were nearly 200 US manufacturing companies with over $19 billion-worth of investments.</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Shell and Exxon set up refineries, spawning a thriving chemical industry and hundreds of manufacturing firms appeared to service the large multinationals and rapidly expanding economy. Britain had been persuaded not to destroy its facilities when it left, contrary to usual custom, and the dockyards at Sembawang and Keppel prospered under private management. The RAF Changi airbase was expanded through reclaimed land and developed to rank as one the very best airports in the world – and it is still expanding.</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Singapore’s rise as a financial centre came about as a chance observation that the daily financial world went to sleep when San Francisco closed in the afternoon until Zurich opened in the morning. Could Singapore fi ll in the gap and thus deliver a 24-hour round-the-world service in money and banking? It could and did. By the 1990s, Singapore had become the fourth largest financial centre in the world after London, New York and Tokyo.</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 xml:space="preserve">Singapore was well on its way. The model that emerged consisted of, on the one hand, a tightly regulated planned economy and, on the other, one of the </w:t>
      </w:r>
      <w:proofErr w:type="gramStart"/>
      <w:r w:rsidRPr="00C40532">
        <w:rPr>
          <w:color w:val="464646"/>
          <w:bdr w:val="none" w:sz="0" w:space="0" w:color="auto" w:frame="1"/>
          <w:lang w:val="en-US"/>
        </w:rPr>
        <w:t>world’s</w:t>
      </w:r>
      <w:proofErr w:type="gramEnd"/>
      <w:r w:rsidRPr="00C40532">
        <w:rPr>
          <w:color w:val="464646"/>
          <w:bdr w:val="none" w:sz="0" w:space="0" w:color="auto" w:frame="1"/>
          <w:lang w:val="en-US"/>
        </w:rPr>
        <w:t xml:space="preserve"> most free market systems. That model continues to this day with each administration making adjustments to suit changing circumstances. For example, the education system has been upgraded from providing basic vocation-oriented scholarship to advanced secondary and tertiary learning. Singapore itself has become a major centre of learning for the Asian region.</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 xml:space="preserve">The government works with trade unions and employers to regulate the flow of foreign workers and thus control the labour market. Ironically, its policies to limit population growth in the 1970s, when unemployment was rife, worked too well and its current total fertility rate of just around 1.2 is the lowest in the world. In an effort to increase the fertility rate, </w:t>
      </w:r>
      <w:proofErr w:type="gramStart"/>
      <w:r w:rsidRPr="00C40532">
        <w:rPr>
          <w:color w:val="464646"/>
          <w:bdr w:val="none" w:sz="0" w:space="0" w:color="auto" w:frame="1"/>
          <w:lang w:val="en-US"/>
        </w:rPr>
        <w:t>premier</w:t>
      </w:r>
      <w:proofErr w:type="gramEnd"/>
      <w:r w:rsidRPr="00C40532">
        <w:rPr>
          <w:color w:val="464646"/>
          <w:bdr w:val="none" w:sz="0" w:space="0" w:color="auto" w:frame="1"/>
          <w:lang w:val="en-US"/>
        </w:rPr>
        <w:t xml:space="preserve"> Lee Loong introduced substantial bonuses for larger families in 2004.</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However, bowing to public pressure, he also raised the foreign-workers’ levy and cut back the number of foreign work permits, but this has added to manufacturing and services costs, which have been passed on to customers, fuelling a three to four per cent inflation.</w:t>
      </w:r>
    </w:p>
    <w:p w:rsidR="00472A60" w:rsidRPr="00C40532" w:rsidRDefault="00472A60" w:rsidP="00472A60">
      <w:pPr>
        <w:pStyle w:val="a6"/>
        <w:spacing w:before="0" w:beforeAutospacing="0" w:after="0" w:afterAutospacing="0"/>
        <w:ind w:firstLine="709"/>
        <w:jc w:val="both"/>
        <w:textAlignment w:val="baseline"/>
        <w:rPr>
          <w:color w:val="464646"/>
          <w:lang w:val="en-US"/>
        </w:rPr>
      </w:pPr>
      <w:r w:rsidRPr="00C40532">
        <w:rPr>
          <w:color w:val="464646"/>
          <w:bdr w:val="none" w:sz="0" w:space="0" w:color="auto" w:frame="1"/>
          <w:lang w:val="en-US"/>
        </w:rPr>
        <w:t>Nevertheless, Singapore is determined to continue its march towards a knowledge-based economy and is upgrading both its high-end technical training and providing companies with subsidies to increase their rate of mechanisation. In 2000, it set up the Agency for Science and Technology (A*STAR) and it is devoting more of the budget to research and development, as well as the promotion of innovation, entrepreneurship and attracting foreign talent. The mega, three-</w:t>
      </w:r>
      <w:r w:rsidRPr="00C40532">
        <w:rPr>
          <w:color w:val="464646"/>
          <w:bdr w:val="none" w:sz="0" w:space="0" w:color="auto" w:frame="1"/>
          <w:lang w:val="en-US"/>
        </w:rPr>
        <w:lastRenderedPageBreak/>
        <w:t>phase One North science-culture project is an important move to anchor Singapore in the higher reaches of the knowledge-based economy structure.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pStyle w:val="a4"/>
        <w:numPr>
          <w:ilvl w:val="0"/>
          <w:numId w:val="25"/>
        </w:numPr>
        <w:spacing w:after="0" w:line="240" w:lineRule="auto"/>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Financial</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sector</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 the locomotive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local economy</w:t>
      </w:r>
      <w:r w:rsidRPr="00C40532">
        <w:rPr>
          <w:rFonts w:ascii="Times New Roman" w:hAnsi="Times New Roman" w:cs="Times New Roman"/>
          <w:b/>
          <w:sz w:val="24"/>
          <w:szCs w:val="24"/>
          <w:lang w:val="en-US"/>
        </w:rPr>
        <w:t>.</w:t>
      </w:r>
    </w:p>
    <w:p w:rsidR="00472A60" w:rsidRPr="00C40532" w:rsidRDefault="00472A60" w:rsidP="00472A60">
      <w:pPr>
        <w:pStyle w:val="a4"/>
        <w:spacing w:after="0" w:line="240" w:lineRule="auto"/>
        <w:ind w:left="106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Singapore financial system is highly developed, and well regulated and supervised. Singapore is one of the world’s largest financial centers, built around a core of domestic and international banks, and also offers a wide range of non-bank services. The authorities have given strong emphasis to integrity and stability in finance and to compliance with international standards, and have addressed most recommendations made by the 2004 FSAP. Singapore’s current regulation and supervision are among the best globally. The Monetary Authority of Singapore (MAS) oversees the entire financial system, and has the analytical and operational capabilities to do so effectively. Singapore is exposed to a broad array of domestic and global risks, especially in light of its interconnectedness with other financial centers. The most pressing vulnerability appears to stem from the rapid growth of credit and real estate prices in recent years, but the financial system is also exposed to possible spillovers from a future tightening of U.S. monetary policy, an economic slowdown in China, or a deterioration of economic conditions in Europe.</w:t>
      </w:r>
    </w:p>
    <w:p w:rsidR="00472A60" w:rsidRPr="00C40532" w:rsidRDefault="00472A60" w:rsidP="00472A60">
      <w:pPr>
        <w:spacing w:after="0" w:line="240" w:lineRule="auto"/>
        <w:ind w:firstLine="709"/>
        <w:jc w:val="both"/>
        <w:rPr>
          <w:rFonts w:ascii="Times New Roman" w:hAnsi="Times New Roman" w:cs="Times New Roman"/>
          <w:sz w:val="24"/>
          <w:szCs w:val="24"/>
        </w:rPr>
      </w:pPr>
      <w:r w:rsidRPr="00C40532">
        <w:rPr>
          <w:rFonts w:ascii="Times New Roman" w:hAnsi="Times New Roman" w:cs="Times New Roman"/>
          <w:sz w:val="24"/>
          <w:szCs w:val="24"/>
          <w:lang w:val="en-US"/>
        </w:rPr>
        <w:t xml:space="preserve">The team’s stress tests suggest that these risks are manageable. This reflects banks’ large capital and other cushions, and the decisive macroprudential actions taken by MAS to address the threat of a bubble in the housing sector. Moreover, MAS has sought to address potential spillovers from other major financial centers by converting large retail branches operating in the domestic market into domestically incorporated subsidiaries, and by pressing in international fora for greater sharing of supervisory information on global systemically important financial institutions (G-SIFIs). Looking forward, the analysis suggests the importance of continuing to monitor closely cross-border interbank liabilities, and also of continuing to adjust macroprudential measures in response to domestic housing market conditions. Bank regulation and supervision is of a high caliber, but there is still room for strengthening in several areas. The macroeconomic surveillance and supervisory functions in MAS are closely coordinated, allowing for an efficient and in-depth analysis of macro-financial linkages, with appropriate follow-up actions. Overall compliance with the supervisory standards assessed by the FSAP mission—banking, insurance, securities, and financial market infrastructures (notably for OTC derivatives)—was also very high compared with other major financial centers. </w:t>
      </w:r>
      <w:r w:rsidRPr="00C40532">
        <w:rPr>
          <w:rFonts w:ascii="Times New Roman" w:hAnsi="Times New Roman" w:cs="Times New Roman"/>
          <w:sz w:val="24"/>
          <w:szCs w:val="24"/>
        </w:rPr>
        <w:t>However, there are areas where further attention is needed:</w:t>
      </w:r>
    </w:p>
    <w:p w:rsidR="00472A60" w:rsidRPr="00C40532" w:rsidRDefault="00472A60" w:rsidP="00472A60">
      <w:pPr>
        <w:pStyle w:val="a4"/>
        <w:numPr>
          <w:ilvl w:val="0"/>
          <w:numId w:val="22"/>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Although the stress tests confirm that banks’ funding gaps appear manageable, liquidity shortages in foreign currency could affect some banks under very adverse conditions, and MAS is encouraged to closely monitor LCR ratios on an individual foreign currency basis.</w:t>
      </w:r>
    </w:p>
    <w:p w:rsidR="00472A60" w:rsidRPr="00C40532" w:rsidRDefault="00472A60" w:rsidP="00472A60">
      <w:pPr>
        <w:pStyle w:val="a4"/>
        <w:numPr>
          <w:ilvl w:val="0"/>
          <w:numId w:val="22"/>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Steps could be taken to strengthen banks’ capitalization framework, with the implementation of the countercyclical capital buffer in line with the Basel III timelines, using triggers suitable to Singapore’s specific circumstances.</w:t>
      </w:r>
    </w:p>
    <w:p w:rsidR="00472A60" w:rsidRPr="00C40532" w:rsidRDefault="00472A60" w:rsidP="00472A60">
      <w:pPr>
        <w:pStyle w:val="a4"/>
        <w:numPr>
          <w:ilvl w:val="0"/>
          <w:numId w:val="22"/>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It would also be appropriate to step up onsite inspections of banks’ credit risk, notably in view of rising household and corporate leverage.</w:t>
      </w:r>
    </w:p>
    <w:p w:rsidR="00472A60" w:rsidRPr="00C40532" w:rsidRDefault="00472A60" w:rsidP="00472A60">
      <w:pPr>
        <w:pStyle w:val="a4"/>
        <w:numPr>
          <w:ilvl w:val="0"/>
          <w:numId w:val="22"/>
        </w:numPr>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structure of the MAS board, which includes several government ministers, was considered by assessors to be potentially inconsistent with full supervisory independence, and consideration should be given to addressing this situation.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Singapore is one of the largest financial centers in the world. Apart from its large and diversified domestic banks, it hosts major international banks attracted by Singapore’s efficient market infrastructure and its well established reputation for the rule of law and effective supervision. As of 2012, Singapore was the third largest foreign exchange (FX) market in the world (offering deep and liquid markets for trading and hedging of G3 currencies, as well as emerging market </w:t>
      </w:r>
      <w:r w:rsidRPr="00C40532">
        <w:rPr>
          <w:rFonts w:ascii="Times New Roman" w:hAnsi="Times New Roman" w:cs="Times New Roman"/>
          <w:sz w:val="24"/>
          <w:szCs w:val="24"/>
          <w:lang w:val="en-US"/>
        </w:rPr>
        <w:lastRenderedPageBreak/>
        <w:t xml:space="preserve">currencies) and one of the largest trading centers for OTC derivatives in Asia, with interest and FX derivatives dominating activity. Equity and fixed income markets are at an earlier stage of development. Singapore has a well-developed payment, clearing, and settlement infrastructure, with several systemically important financial market infrastructures (FMIs) (Figure 1).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Singapore’s financial center has several distinctive features (Figure 2 and Table 3):</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r w:rsidRPr="00C40532">
        <w:rPr>
          <w:rFonts w:ascii="Times New Roman" w:hAnsi="Times New Roman" w:cs="Times New Roman"/>
          <w:sz w:val="24"/>
          <w:szCs w:val="24"/>
        </w:rPr>
        <w:sym w:font="Symbol" w:char="F0B7"/>
      </w: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Predominance of banks over other types of financial institutions.</w:t>
      </w:r>
      <w:proofErr w:type="gramEnd"/>
      <w:r w:rsidRPr="00C40532">
        <w:rPr>
          <w:rFonts w:ascii="Times New Roman" w:hAnsi="Times New Roman" w:cs="Times New Roman"/>
          <w:sz w:val="24"/>
          <w:szCs w:val="24"/>
          <w:lang w:val="en-US"/>
        </w:rPr>
        <w:t xml:space="preserve"> While it has undergone major structural changes in recent years, Singapore’s financial sector remains dominated by banks. As of June 2013, there were 122 commercial banks operating in Singapore, of which five were local banks, one was a foreign subsidiary, while the rest were foreign branches.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w:t>
      </w:r>
      <w:r w:rsidRPr="00C40532">
        <w:rPr>
          <w:rFonts w:ascii="Times New Roman" w:hAnsi="Times New Roman" w:cs="Times New Roman"/>
          <w:sz w:val="24"/>
          <w:szCs w:val="24"/>
        </w:rPr>
        <w:sym w:font="Symbol" w:char="F0B7"/>
      </w:r>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A small number of systemically important domestic banks.</w:t>
      </w:r>
      <w:proofErr w:type="gramEnd"/>
      <w:r w:rsidRPr="00C40532">
        <w:rPr>
          <w:rFonts w:ascii="Times New Roman" w:hAnsi="Times New Roman" w:cs="Times New Roman"/>
          <w:sz w:val="24"/>
          <w:szCs w:val="24"/>
          <w:lang w:val="en-US"/>
        </w:rPr>
        <w:t xml:space="preserve"> The three largest local banks2 have grown to about 30 percent of banking system assets (equivalent to about 180 percent of GDP). They are strong in traditional lending intermediation in Singapore and in the region (through subsidiaries). About 35 percent of banks’ exposures and income originate in the region, outside Singapore.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rPr>
        <w:sym w:font="Symbol" w:char="F0B7"/>
      </w:r>
      <w:r w:rsidRPr="00C40532">
        <w:rPr>
          <w:rFonts w:ascii="Times New Roman" w:hAnsi="Times New Roman" w:cs="Times New Roman"/>
          <w:sz w:val="24"/>
          <w:szCs w:val="24"/>
          <w:lang w:val="en-US"/>
        </w:rPr>
        <w:t xml:space="preserve"> Foreign bank branches rather than subsidiaries. Foreign banks represent about 65 percent of total banking assets. European and U.S. foreign banks have the largest presence followed by a smaller presence of regional banks. While some foreign bank branches have a significant presence in domestic retail and corporate lending (the so-called full and qualifying full banks, QFBs), others limit their activities to the provision of services to their domestic clients, or IT operations in Singapore with a regional focus.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There are four types of banks: Full, Qualifying Full Banks (QFBs), Wholesale, and Offshore. Full banks can conduct the whole range of banking business, including retail deposit taking. QFBs have key privileges regarding the number of places of business (up to 25). There are at present 10 QFBs. In June 2012, MAS announced changes to the QFB program by which QFBs with large retail presence will be required to locally incorporate their retail operation. In addition, QFBs that satisfy certain qualifying criteria and are assessed to be “significantly rooted” will be allowed to establish up to 50 places of business. Wholesale branches are allowed to take wholesale domestic funding but not retail. Purely off-shore branches are generally not allowed to accept Singapore dollar deposits from residents.</w:t>
      </w:r>
    </w:p>
    <w:p w:rsidR="00472A60" w:rsidRPr="00C40532" w:rsidRDefault="00472A60" w:rsidP="00472A60">
      <w:pPr>
        <w:pStyle w:val="a4"/>
        <w:numPr>
          <w:ilvl w:val="0"/>
          <w:numId w:val="23"/>
        </w:numPr>
        <w:tabs>
          <w:tab w:val="left" w:pos="851"/>
        </w:tabs>
        <w:spacing w:after="0" w:line="240" w:lineRule="auto"/>
        <w:ind w:left="0"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Universal banking licenses. Local banks and branches are allowed to undertake universal banking, and can offer a wide range of financial services, provided these are regulated by MAS. They are exempted from holding additional licenses, but are required to notify MAS when they wish to commence regulated nonbank securities and financial advisory activities, and to comply with the relevant regulations.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3. Other financial institutions include insurance companies, merchant banks, fund managers, market intermediaries, and financial advisors. The insurance sector is the second largest component of Singapore’s financial system. However, despite recent growth, its assets account for only about 6 percent of the total assets of the system (about 48 percent of GDP). The largest activity is life insurance, in particular policies issued to Singapore residents. There are also over 600 fund management firms5 with S$880 billion in assets under management (AUM), of which about 250 hedge funds managers with AUM of S$60 billion (about 250 percent and 17 percent of GDP, respectively). More than 80 percent of these assets come from sources outside Singapore, in particular from the region, attracted by its favorable tax and legal framework.</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4. Since the last FSAP, macroeconomic and financial performance has been strong.8 Real GDP growth and inflation averaged around 6 percent and 2½ percent respectively during 2004–11. The services sector has made the largest contribution to output and growth, accounting for about 60 percent of GDP and about 70 percent of growth. The financial system more than doubled in absolute terms, and now contributes around 12¼ percent to annual GDP (up from about 10 percent in 2004). </w:t>
      </w:r>
      <w:r w:rsidRPr="00C40532">
        <w:rPr>
          <w:rFonts w:ascii="Times New Roman" w:hAnsi="Times New Roman" w:cs="Times New Roman"/>
          <w:sz w:val="24"/>
          <w:szCs w:val="24"/>
          <w:lang w:val="en-US"/>
        </w:rPr>
        <w:lastRenderedPageBreak/>
        <w:t>Following a 9 percent decline in 2008 and early 2009, output recovered strongly and GDP is now significantly above the pre-crisis level. 2012 was a more difficult year for Singapore, however, owing to weak global demand and a tighter foreign worker policy, resulting in real growth of around 1¼ percent, with weak activity continuing into early 2013. The resident unemployment rate remains at a near historic low of 3 percent.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3.</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financial</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Singapore</w:t>
      </w:r>
      <w:r w:rsidRPr="00C40532">
        <w:rPr>
          <w:rFonts w:ascii="Times New Roman" w:hAnsi="Times New Roman" w:cs="Times New Roman"/>
          <w:b/>
          <w:sz w:val="24"/>
          <w:szCs w:val="24"/>
          <w:lang w:val="en-US"/>
        </w:rPr>
        <w:t>.</w:t>
      </w:r>
    </w:p>
    <w:p w:rsidR="00472A60" w:rsidRPr="00C40532" w:rsidRDefault="00472A60" w:rsidP="00472A60">
      <w:pPr>
        <w:pStyle w:val="3"/>
        <w:shd w:val="clear" w:color="auto" w:fill="FFFFFF"/>
        <w:spacing w:before="0" w:line="240" w:lineRule="auto"/>
        <w:ind w:firstLine="709"/>
        <w:jc w:val="both"/>
        <w:rPr>
          <w:rFonts w:ascii="Times New Roman" w:hAnsi="Times New Roman" w:cs="Times New Roman"/>
          <w:color w:val="000000"/>
          <w:sz w:val="24"/>
          <w:szCs w:val="24"/>
          <w:lang w:val="en-US"/>
        </w:rPr>
      </w:pPr>
      <w:r w:rsidRPr="00C40532">
        <w:rPr>
          <w:rStyle w:val="mw-headline"/>
          <w:rFonts w:ascii="Times New Roman" w:hAnsi="Times New Roman" w:cs="Times New Roman"/>
          <w:color w:val="000000"/>
          <w:sz w:val="24"/>
          <w:szCs w:val="24"/>
          <w:lang w:val="en-US"/>
        </w:rPr>
        <w:t>Banking</w:t>
      </w:r>
    </w:p>
    <w:p w:rsidR="00472A60" w:rsidRPr="00C40532" w:rsidRDefault="00472A60" w:rsidP="00472A60">
      <w:pPr>
        <w:pStyle w:val="a6"/>
        <w:shd w:val="clear" w:color="auto" w:fill="FFFFFF"/>
        <w:spacing w:before="0" w:beforeAutospacing="0" w:after="0" w:afterAutospacing="0"/>
        <w:ind w:firstLine="709"/>
        <w:jc w:val="both"/>
        <w:rPr>
          <w:color w:val="252525"/>
          <w:lang w:val="en-US"/>
        </w:rPr>
      </w:pPr>
      <w:r w:rsidRPr="00C40532">
        <w:rPr>
          <w:color w:val="252525"/>
          <w:lang w:val="en-US"/>
        </w:rPr>
        <w:t>Singapore is considered a global financial hub, with Singapore banks offering world-class corporate bank account facilities. These include multiple currencies, internet banking, telephone banking, checking accounts, savings accounts, debit and credit cards, fixed term deposits and wealth management services.</w:t>
      </w:r>
      <w:r w:rsidRPr="00C40532">
        <w:rPr>
          <w:color w:val="252525"/>
          <w:vertAlign w:val="superscript"/>
          <w:lang w:val="en-US"/>
        </w:rPr>
        <w:t xml:space="preserve"> </w:t>
      </w:r>
      <w:r w:rsidRPr="00C40532">
        <w:rPr>
          <w:color w:val="252525"/>
          <w:lang w:val="en-US"/>
        </w:rPr>
        <w:t>According to the</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"https://en.wikipedia.org/wiki/Human_Rights_Watch" \o "Human Rights Watch"</w:instrText>
      </w:r>
      <w:r w:rsidR="00AA3725">
        <w:fldChar w:fldCharType="separate"/>
      </w:r>
      <w:r w:rsidRPr="00C40532">
        <w:rPr>
          <w:rStyle w:val="a5"/>
          <w:color w:val="0B0080"/>
          <w:lang w:val="en-US"/>
        </w:rPr>
        <w:t>Human Rights Watch</w:t>
      </w:r>
      <w:r w:rsidR="00AA3725">
        <w:fldChar w:fldCharType="end"/>
      </w:r>
      <w:r w:rsidRPr="00C40532">
        <w:rPr>
          <w:color w:val="252525"/>
          <w:lang w:val="en-US"/>
        </w:rPr>
        <w:t>, due to its role as a financial hub for the region, Singapore has continually been criticised for reportedly hosting bank accounts containing ill-gotten gains of</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"https://en.wikipedia.org/wiki/Corruption" \o "Corruption"</w:instrText>
      </w:r>
      <w:r w:rsidR="00AA3725">
        <w:fldChar w:fldCharType="separate"/>
      </w:r>
      <w:r w:rsidRPr="00C40532">
        <w:rPr>
          <w:rStyle w:val="a5"/>
          <w:color w:val="0B0080"/>
          <w:lang w:val="en-US"/>
        </w:rPr>
        <w:t>corrupt</w:t>
      </w:r>
      <w:r w:rsidR="00AA3725">
        <w:fldChar w:fldCharType="end"/>
      </w:r>
      <w:r w:rsidRPr="00C40532">
        <w:rPr>
          <w:rStyle w:val="apple-converted-space"/>
          <w:rFonts w:eastAsiaTheme="majorEastAsia"/>
          <w:color w:val="252525"/>
          <w:lang w:val="en-US"/>
        </w:rPr>
        <w:t> </w:t>
      </w:r>
      <w:r w:rsidRPr="00C40532">
        <w:rPr>
          <w:color w:val="252525"/>
          <w:lang w:val="en-US"/>
        </w:rPr>
        <w:t>leaders and their associates, including billions of dollars of</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"https://en.wikipedia.org/wiki/Burma" \o "Burma"</w:instrText>
      </w:r>
      <w:r w:rsidR="00AA3725">
        <w:fldChar w:fldCharType="separate"/>
      </w:r>
      <w:r w:rsidRPr="00C40532">
        <w:rPr>
          <w:rStyle w:val="a5"/>
          <w:color w:val="0B0080"/>
          <w:lang w:val="en-US"/>
        </w:rPr>
        <w:t>Burma</w:t>
      </w:r>
      <w:r w:rsidR="00AA3725">
        <w:fldChar w:fldCharType="end"/>
      </w:r>
      <w:r w:rsidRPr="00C40532">
        <w:rPr>
          <w:color w:val="252525"/>
          <w:lang w:val="en-US"/>
        </w:rPr>
        <w:t>'s state gas revenues hidden from national accounts.</w:t>
      </w:r>
      <w:r w:rsidRPr="00C40532">
        <w:rPr>
          <w:color w:val="252525"/>
          <w:vertAlign w:val="superscript"/>
          <w:lang w:val="en-US"/>
        </w:rPr>
        <w:t xml:space="preserve"> </w:t>
      </w:r>
      <w:r w:rsidRPr="00C40532">
        <w:rPr>
          <w:color w:val="252525"/>
          <w:lang w:val="en-US"/>
        </w:rPr>
        <w:t>Singapore has attracted assets formerly held in</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"https://en.wikipedia.org/wiki/Swiss_banks" \o "Swiss banks"</w:instrText>
      </w:r>
      <w:r w:rsidR="00AA3725">
        <w:fldChar w:fldCharType="separate"/>
      </w:r>
      <w:r w:rsidRPr="00C40532">
        <w:rPr>
          <w:rStyle w:val="a5"/>
          <w:color w:val="0B0080"/>
          <w:lang w:val="en-US"/>
        </w:rPr>
        <w:t>Swiss banks</w:t>
      </w:r>
      <w:r w:rsidR="00AA3725">
        <w:fldChar w:fldCharType="end"/>
      </w:r>
      <w:r w:rsidRPr="00C40532">
        <w:rPr>
          <w:rStyle w:val="apple-converted-space"/>
          <w:rFonts w:eastAsiaTheme="majorEastAsia"/>
          <w:color w:val="252525"/>
          <w:lang w:val="en-US"/>
        </w:rPr>
        <w:t> </w:t>
      </w:r>
      <w:r w:rsidRPr="00C40532">
        <w:rPr>
          <w:color w:val="252525"/>
          <w:lang w:val="en-US"/>
        </w:rPr>
        <w:t>for several reasons, including new taxes imposed on Swiss accounts and a weakening of Swiss</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"https://en.wikipedia.org/wiki/Bank_secrecy" \o "Bank secrecy"</w:instrText>
      </w:r>
      <w:r w:rsidR="00AA3725">
        <w:fldChar w:fldCharType="separate"/>
      </w:r>
      <w:r w:rsidRPr="00C40532">
        <w:rPr>
          <w:rStyle w:val="a5"/>
          <w:color w:val="0B0080"/>
          <w:lang w:val="en-US"/>
        </w:rPr>
        <w:t>bank secrecy</w:t>
      </w:r>
      <w:r w:rsidR="00AA3725">
        <w:fldChar w:fldCharType="end"/>
      </w:r>
      <w:r w:rsidRPr="00C40532">
        <w:rPr>
          <w:color w:val="252525"/>
          <w:lang w:val="en-US"/>
        </w:rPr>
        <w:t>.</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"https://en.wikipedia.org/wiki/Credit_Suisse" \o "Credit Suisse"</w:instrText>
      </w:r>
      <w:r w:rsidR="00AA3725">
        <w:fldChar w:fldCharType="separate"/>
      </w:r>
      <w:r w:rsidRPr="00C40532">
        <w:rPr>
          <w:rStyle w:val="a5"/>
          <w:color w:val="0B0080"/>
          <w:lang w:val="en-US"/>
        </w:rPr>
        <w:t>Credit Suisse</w:t>
      </w:r>
      <w:r w:rsidR="00AA3725">
        <w:fldChar w:fldCharType="end"/>
      </w:r>
      <w:r w:rsidRPr="00C40532">
        <w:rPr>
          <w:color w:val="252525"/>
          <w:lang w:val="en-US"/>
        </w:rPr>
        <w:t>, the second largest Swiss bank, moved its head of international</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"https://en.wikipedia.org/wiki/Private_banking" \o "Private banking"</w:instrText>
      </w:r>
      <w:r w:rsidR="00AA3725">
        <w:fldChar w:fldCharType="separate"/>
      </w:r>
      <w:r w:rsidRPr="00C40532">
        <w:rPr>
          <w:rStyle w:val="a5"/>
          <w:color w:val="0B0080"/>
          <w:lang w:val="en-US"/>
        </w:rPr>
        <w:t>private banking</w:t>
      </w:r>
      <w:r w:rsidR="00AA3725">
        <w:fldChar w:fldCharType="end"/>
      </w:r>
      <w:r w:rsidRPr="00C40532">
        <w:rPr>
          <w:rStyle w:val="apple-converted-space"/>
          <w:rFonts w:eastAsiaTheme="majorEastAsia"/>
          <w:color w:val="252525"/>
          <w:lang w:val="en-US"/>
        </w:rPr>
        <w:t> </w:t>
      </w:r>
      <w:r w:rsidRPr="00C40532">
        <w:rPr>
          <w:color w:val="252525"/>
          <w:lang w:val="en-US"/>
        </w:rPr>
        <w:t>to Singapore in 2005.</w:t>
      </w:r>
    </w:p>
    <w:p w:rsidR="00472A60" w:rsidRPr="00C40532" w:rsidRDefault="00AA3725" w:rsidP="00472A60">
      <w:pPr>
        <w:pStyle w:val="a6"/>
        <w:shd w:val="clear" w:color="auto" w:fill="FFFFFF"/>
        <w:spacing w:before="0" w:beforeAutospacing="0" w:after="0" w:afterAutospacing="0"/>
        <w:ind w:firstLine="709"/>
        <w:jc w:val="both"/>
        <w:rPr>
          <w:color w:val="252525"/>
          <w:lang w:val="en-US"/>
        </w:rPr>
      </w:pPr>
      <w:r>
        <w:fldChar w:fldCharType="begin"/>
      </w:r>
      <w:r w:rsidRPr="003E0431">
        <w:rPr>
          <w:lang w:val="en-US"/>
        </w:rPr>
        <w:instrText>HYPERLINK "https://en.wikipedia.org/wiki/Tax_evasion" \o "Tax evasion"</w:instrText>
      </w:r>
      <w:r>
        <w:fldChar w:fldCharType="separate"/>
      </w:r>
      <w:r w:rsidR="00472A60" w:rsidRPr="00C40532">
        <w:rPr>
          <w:rStyle w:val="a5"/>
          <w:color w:val="0B0080"/>
          <w:lang w:val="en-US"/>
        </w:rPr>
        <w:t>Tax evasion</w:t>
      </w:r>
      <w:r>
        <w:fldChar w:fldCharType="end"/>
      </w:r>
      <w:r w:rsidR="00472A60" w:rsidRPr="00C40532">
        <w:rPr>
          <w:rStyle w:val="apple-converted-space"/>
          <w:rFonts w:eastAsiaTheme="majorEastAsia"/>
          <w:color w:val="252525"/>
          <w:lang w:val="en-US"/>
        </w:rPr>
        <w:t> </w:t>
      </w:r>
      <w:r w:rsidR="00472A60" w:rsidRPr="00C40532">
        <w:rPr>
          <w:color w:val="252525"/>
          <w:lang w:val="en-US"/>
        </w:rPr>
        <w:t>is illegal in Singapore; however, according to an</w:t>
      </w:r>
      <w:r w:rsidR="00472A60" w:rsidRPr="00C40532">
        <w:rPr>
          <w:rStyle w:val="apple-converted-space"/>
          <w:rFonts w:eastAsiaTheme="majorEastAsia"/>
          <w:color w:val="252525"/>
          <w:lang w:val="en-US"/>
        </w:rPr>
        <w:t> </w:t>
      </w:r>
      <w:r>
        <w:fldChar w:fldCharType="begin"/>
      </w:r>
      <w:r w:rsidRPr="003E0431">
        <w:rPr>
          <w:lang w:val="en-US"/>
        </w:rPr>
        <w:instrText>HYPERLINK "https://en.wikipedia.org/wiki/Organisation_for_Economic_Co-operation_and_Development" \o "Organisation for Economic Co-operation and Development"</w:instrText>
      </w:r>
      <w:r>
        <w:fldChar w:fldCharType="separate"/>
      </w:r>
      <w:r w:rsidR="00472A60" w:rsidRPr="00C40532">
        <w:rPr>
          <w:rStyle w:val="a5"/>
          <w:color w:val="0B0080"/>
          <w:lang w:val="en-US"/>
        </w:rPr>
        <w:t>Organisation for Economic Co-operation and Development</w:t>
      </w:r>
      <w:r>
        <w:fldChar w:fldCharType="end"/>
      </w:r>
      <w:r w:rsidR="00472A60" w:rsidRPr="00C40532">
        <w:rPr>
          <w:rStyle w:val="apple-converted-space"/>
          <w:rFonts w:eastAsiaTheme="majorEastAsia"/>
          <w:color w:val="252525"/>
          <w:lang w:val="en-US"/>
        </w:rPr>
        <w:t> </w:t>
      </w:r>
      <w:r w:rsidR="00472A60" w:rsidRPr="00C40532">
        <w:rPr>
          <w:color w:val="252525"/>
          <w:lang w:val="en-US"/>
        </w:rPr>
        <w:t>official, Singaporean authorities tend to cooperate with other countries' tax authorities only when evasion of Singaporean taxes is involved.</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pStyle w:val="2"/>
        <w:pBdr>
          <w:bottom w:val="single" w:sz="6" w:space="0" w:color="AAAAAA"/>
        </w:pBdr>
        <w:shd w:val="clear" w:color="auto" w:fill="FFFFFF"/>
        <w:spacing w:before="0" w:beforeAutospacing="0" w:after="0" w:afterAutospacing="0"/>
        <w:ind w:firstLine="709"/>
        <w:jc w:val="both"/>
        <w:rPr>
          <w:bCs w:val="0"/>
          <w:color w:val="000000"/>
          <w:sz w:val="24"/>
          <w:szCs w:val="24"/>
          <w:lang w:val="en-US"/>
        </w:rPr>
      </w:pPr>
      <w:r w:rsidRPr="00C40532">
        <w:rPr>
          <w:rStyle w:val="mw-headline"/>
          <w:bCs w:val="0"/>
          <w:color w:val="000000"/>
          <w:sz w:val="24"/>
          <w:szCs w:val="24"/>
          <w:lang w:val="en-US"/>
        </w:rPr>
        <w:t>Public finance</w:t>
      </w:r>
    </w:p>
    <w:p w:rsidR="00472A60" w:rsidRPr="00C40532" w:rsidRDefault="00472A60" w:rsidP="00472A60">
      <w:pPr>
        <w:pStyle w:val="a6"/>
        <w:shd w:val="clear" w:color="auto" w:fill="FFFFFF"/>
        <w:spacing w:before="0" w:beforeAutospacing="0" w:after="0" w:afterAutospacing="0"/>
        <w:ind w:firstLine="709"/>
        <w:jc w:val="both"/>
        <w:rPr>
          <w:color w:val="252525"/>
          <w:lang w:val="en-US"/>
        </w:rPr>
      </w:pPr>
      <w:r w:rsidRPr="00C40532">
        <w:rPr>
          <w:color w:val="252525"/>
          <w:lang w:val="en-US"/>
        </w:rPr>
        <w:t>Government spending in Singapore has risen since the start of the global financial crisis, from around 15% of GDP in 2008 to 17% in 2012. The government's total expenditure as a percentage of GDP ranks among the lowest internationally and allows for a competitive tax regime.</w:t>
      </w:r>
      <w:r w:rsidRPr="00C40532">
        <w:rPr>
          <w:rStyle w:val="apple-converted-space"/>
          <w:rFonts w:eastAsiaTheme="majorEastAsia"/>
          <w:color w:val="252525"/>
          <w:lang w:val="en-US"/>
        </w:rPr>
        <w:t> </w:t>
      </w:r>
      <w:r w:rsidRPr="00C40532">
        <w:rPr>
          <w:color w:val="252525"/>
          <w:lang w:val="en-US"/>
        </w:rPr>
        <w:t>Singapore is required under its constitution to keep a balanced budget over each term of government. Singapore government debt is issued for investment purposes, not to fund expenditure.</w:t>
      </w:r>
    </w:p>
    <w:p w:rsidR="00472A60" w:rsidRPr="00C40532" w:rsidRDefault="00472A60" w:rsidP="00472A60">
      <w:pPr>
        <w:pStyle w:val="a6"/>
        <w:shd w:val="clear" w:color="auto" w:fill="FFFFFF"/>
        <w:spacing w:before="0" w:beforeAutospacing="0" w:after="0" w:afterAutospacing="0"/>
        <w:ind w:firstLine="709"/>
        <w:jc w:val="both"/>
        <w:rPr>
          <w:color w:val="252525"/>
          <w:lang w:val="en-US"/>
        </w:rPr>
      </w:pPr>
      <w:r w:rsidRPr="00C40532">
        <w:rPr>
          <w:color w:val="252525"/>
          <w:lang w:val="en-US"/>
        </w:rPr>
        <w:t>Personal income taxes in Singapore range from 0% to 20% for incomes above S$320,000. There are no capital gains or inheritance taxes in Singapore.</w:t>
      </w:r>
      <w:r w:rsidRPr="00C40532">
        <w:rPr>
          <w:color w:val="252525"/>
          <w:vertAlign w:val="superscript"/>
          <w:lang w:val="en-US"/>
        </w:rPr>
        <w:t xml:space="preserve"> </w:t>
      </w:r>
      <w:r w:rsidRPr="00C40532">
        <w:rPr>
          <w:color w:val="252525"/>
          <w:lang w:val="en-US"/>
        </w:rPr>
        <w:t>Singapore's corporate tax rate is 17% with exemptions and incentives for smaller businesses. Singapore has a single-tier corporate income tax system, which means there is no double-taxation for shareholders.</w:t>
      </w:r>
    </w:p>
    <w:p w:rsidR="00472A60" w:rsidRPr="00C40532" w:rsidRDefault="00472A60" w:rsidP="00472A60">
      <w:pPr>
        <w:pStyle w:val="a6"/>
        <w:shd w:val="clear" w:color="auto" w:fill="FFFFFF"/>
        <w:spacing w:before="0" w:beforeAutospacing="0" w:after="0" w:afterAutospacing="0"/>
        <w:ind w:firstLine="709"/>
        <w:jc w:val="both"/>
        <w:rPr>
          <w:color w:val="252525"/>
          <w:lang w:val="en-US"/>
        </w:rPr>
      </w:pPr>
      <w:r w:rsidRPr="00C40532">
        <w:rPr>
          <w:color w:val="252525"/>
          <w:lang w:val="en-US"/>
        </w:rPr>
        <w:t xml:space="preserve">Singapore introduced Goods and Services Tax (GST) with an initial rate of 3% on 1 April 1994, increasing government's revenue by S$1.6 billion (US$1b, €800m) and establishing government finances. The taxable GST was increased to 4% in 2003, to 5% in 2004, and to 7% in 2007. </w:t>
      </w:r>
    </w:p>
    <w:p w:rsidR="00472A60" w:rsidRPr="00C40532" w:rsidRDefault="00472A60" w:rsidP="00472A60">
      <w:pPr>
        <w:pStyle w:val="a6"/>
        <w:shd w:val="clear" w:color="auto" w:fill="FFFFFF"/>
        <w:spacing w:before="0" w:beforeAutospacing="0" w:after="0" w:afterAutospacing="0"/>
        <w:ind w:firstLine="709"/>
        <w:jc w:val="both"/>
        <w:rPr>
          <w:color w:val="252525"/>
          <w:lang w:val="en-US"/>
        </w:rPr>
      </w:pPr>
      <w:r w:rsidRPr="00C40532">
        <w:rPr>
          <w:color w:val="252525"/>
          <w:lang w:val="en-US"/>
        </w:rPr>
        <w:t>The Singapore government owns two investment companies,</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"https://en.wikipedia.org/wiki/GIC_Private_Limited" \o "GIC Private Limited"</w:instrText>
      </w:r>
      <w:r w:rsidR="00AA3725">
        <w:fldChar w:fldCharType="separate"/>
      </w:r>
      <w:r w:rsidRPr="00C40532">
        <w:rPr>
          <w:rStyle w:val="a5"/>
          <w:color w:val="0B0080"/>
          <w:lang w:val="en-US"/>
        </w:rPr>
        <w:t>GIC Private Limited</w:t>
      </w:r>
      <w:r w:rsidR="00AA3725">
        <w:fldChar w:fldCharType="end"/>
      </w:r>
      <w:r w:rsidRPr="00C40532">
        <w:rPr>
          <w:rStyle w:val="apple-converted-space"/>
          <w:rFonts w:eastAsiaTheme="majorEastAsia"/>
          <w:color w:val="252525"/>
          <w:lang w:val="en-US"/>
        </w:rPr>
        <w:t> </w:t>
      </w:r>
      <w:r w:rsidRPr="00C40532">
        <w:rPr>
          <w:color w:val="252525"/>
          <w:lang w:val="en-US"/>
        </w:rPr>
        <w:t>and</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"https://en.wikipedia.org/wiki/Temasek_Holdings" \o "Temasek Holdings"</w:instrText>
      </w:r>
      <w:r w:rsidR="00AA3725">
        <w:fldChar w:fldCharType="separate"/>
      </w:r>
      <w:r w:rsidRPr="00C40532">
        <w:rPr>
          <w:rStyle w:val="a5"/>
          <w:color w:val="0B0080"/>
          <w:lang w:val="en-US"/>
        </w:rPr>
        <w:t>Temasek Holdings</w:t>
      </w:r>
      <w:r w:rsidR="00AA3725">
        <w:fldChar w:fldCharType="end"/>
      </w:r>
      <w:r w:rsidRPr="00C40532">
        <w:rPr>
          <w:color w:val="252525"/>
          <w:lang w:val="en-US"/>
        </w:rPr>
        <w:t>, which manage Singapore's reserves. Both operate as commercial investment holding companies independently of the Singapore government, but Prime Minister Lee Hsien Loong and his wife Ho Ching serve as chairman and CEO of these corporations respectively.</w:t>
      </w:r>
      <w:r w:rsidRPr="00C40532">
        <w:rPr>
          <w:rStyle w:val="apple-converted-space"/>
          <w:rFonts w:eastAsiaTheme="majorEastAsia"/>
          <w:color w:val="252525"/>
          <w:lang w:val="en-US"/>
        </w:rPr>
        <w:t> </w:t>
      </w:r>
      <w:r w:rsidRPr="00C40532">
        <w:rPr>
          <w:color w:val="252525"/>
          <w:lang w:val="en-US"/>
        </w:rPr>
        <w:t>While GIC invests abroad, Temasek holds 31% of its portfolio in Singapore, holding majority stakes in several of the nation's largest companies, such as</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"https://en.wikipedia.org/wiki/Singapore_Airlines" \o "Singapore Airlines"</w:instrText>
      </w:r>
      <w:r w:rsidR="00AA3725">
        <w:fldChar w:fldCharType="separate"/>
      </w:r>
      <w:r w:rsidRPr="00C40532">
        <w:rPr>
          <w:rStyle w:val="a5"/>
          <w:color w:val="0B0080"/>
          <w:lang w:val="en-US"/>
        </w:rPr>
        <w:t>Singapore Airlines</w:t>
      </w:r>
      <w:r w:rsidR="00AA3725">
        <w:fldChar w:fldCharType="end"/>
      </w:r>
      <w:r w:rsidRPr="00C40532">
        <w:rPr>
          <w:color w:val="252525"/>
          <w:lang w:val="en-US"/>
        </w:rPr>
        <w:t>,</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"https://en.wikipedia.org/wiki/SingTel" \o "SingTel"</w:instrText>
      </w:r>
      <w:r w:rsidR="00AA3725">
        <w:fldChar w:fldCharType="separate"/>
      </w:r>
      <w:r w:rsidRPr="00C40532">
        <w:rPr>
          <w:rStyle w:val="a5"/>
          <w:color w:val="0B0080"/>
          <w:lang w:val="en-US"/>
        </w:rPr>
        <w:t>SingTel</w:t>
      </w:r>
      <w:r w:rsidR="00AA3725">
        <w:fldChar w:fldCharType="end"/>
      </w:r>
      <w:r w:rsidRPr="00C40532">
        <w:rPr>
          <w:color w:val="252525"/>
          <w:lang w:val="en-US"/>
        </w:rPr>
        <w:t>,</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"https://en.wikipedia.org/wiki/ST_Engineering" \o "ST Engineering"</w:instrText>
      </w:r>
      <w:r w:rsidR="00AA3725">
        <w:fldChar w:fldCharType="separate"/>
      </w:r>
      <w:r w:rsidRPr="00C40532">
        <w:rPr>
          <w:rStyle w:val="a5"/>
          <w:color w:val="0B0080"/>
          <w:lang w:val="en-US"/>
        </w:rPr>
        <w:t>ST Engineering</w:t>
      </w:r>
      <w:r w:rsidR="00AA3725">
        <w:fldChar w:fldCharType="end"/>
      </w:r>
      <w:r w:rsidRPr="00C40532">
        <w:rPr>
          <w:rStyle w:val="apple-converted-space"/>
          <w:rFonts w:eastAsiaTheme="majorEastAsia"/>
          <w:color w:val="252525"/>
          <w:lang w:val="en-US"/>
        </w:rPr>
        <w:t> </w:t>
      </w:r>
      <w:r w:rsidRPr="00C40532">
        <w:rPr>
          <w:color w:val="252525"/>
          <w:lang w:val="en-US"/>
        </w:rPr>
        <w:t>and</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"https://en.wikipedia.org/wiki/MediaCorp" \o "MediaCorp"</w:instrText>
      </w:r>
      <w:r w:rsidR="00AA3725">
        <w:fldChar w:fldCharType="separate"/>
      </w:r>
      <w:r w:rsidRPr="00C40532">
        <w:rPr>
          <w:rStyle w:val="a5"/>
          <w:color w:val="0B0080"/>
          <w:lang w:val="en-US"/>
        </w:rPr>
        <w:t>MediaCorp</w:t>
      </w:r>
      <w:r w:rsidR="00AA3725">
        <w:fldChar w:fldCharType="end"/>
      </w:r>
      <w:r w:rsidRPr="00C40532">
        <w:rPr>
          <w:color w:val="252525"/>
          <w:lang w:val="en-US"/>
        </w:rPr>
        <w:t>. As of 2014, Temasek holds S$69 billion of assets in Singapore, accounting for 7% of the total capitalisation of Singapore-listed companies.</w:t>
      </w:r>
    </w:p>
    <w:p w:rsidR="00472A60" w:rsidRPr="00C40532" w:rsidRDefault="00472A60" w:rsidP="00472A60">
      <w:pPr>
        <w:pStyle w:val="a6"/>
        <w:shd w:val="clear" w:color="auto" w:fill="FFFFFF"/>
        <w:spacing w:before="0" w:beforeAutospacing="0" w:after="0" w:afterAutospacing="0"/>
        <w:ind w:firstLine="709"/>
        <w:jc w:val="both"/>
        <w:rPr>
          <w:color w:val="252525"/>
          <w:lang w:val="en-US"/>
        </w:rPr>
      </w:pPr>
      <w:r w:rsidRPr="00C40532">
        <w:rPr>
          <w:color w:val="252525"/>
          <w:lang w:val="en-US"/>
        </w:rPr>
        <w:t>In April 2013, the country was recognised</w:t>
      </w:r>
      <w:r w:rsidRPr="00C40532">
        <w:rPr>
          <w:rStyle w:val="apple-converted-space"/>
          <w:rFonts w:eastAsiaTheme="majorEastAsia"/>
          <w:color w:val="252525"/>
          <w:lang w:val="en-US"/>
        </w:rPr>
        <w:t> </w:t>
      </w:r>
      <w:r w:rsidRPr="00C40532">
        <w:rPr>
          <w:color w:val="252525"/>
          <w:lang w:val="en-US"/>
        </w:rPr>
        <w:t>as an increasingly popular tax haven for the wealthy due to the low tax rate on personal income, a full tax exemption on income that is generated outside of Singapore and 69 double taxation treaties</w:t>
      </w:r>
      <w:r w:rsidRPr="00C40532">
        <w:rPr>
          <w:rStyle w:val="apple-converted-space"/>
          <w:rFonts w:eastAsiaTheme="majorEastAsia"/>
          <w:color w:val="252525"/>
          <w:lang w:val="en-US"/>
        </w:rPr>
        <w:t> </w:t>
      </w:r>
      <w:r w:rsidRPr="00C40532">
        <w:rPr>
          <w:color w:val="252525"/>
          <w:lang w:val="en-US"/>
        </w:rPr>
        <w:t>that can minimise both withholding tax and capital gains tax. Australian millionaire retailer</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"https://en.wikipedia.org/w/index.php?title=Brett_Blundy&amp;action=edit&amp;redlink=1" \o "Brett Blundy (page does not exist)"</w:instrText>
      </w:r>
      <w:r w:rsidR="00AA3725">
        <w:fldChar w:fldCharType="separate"/>
      </w:r>
      <w:r w:rsidRPr="00C40532">
        <w:rPr>
          <w:rStyle w:val="a5"/>
          <w:color w:val="A55858"/>
          <w:lang w:val="en-US"/>
        </w:rPr>
        <w:t>Brett Blundy</w:t>
      </w:r>
      <w:r w:rsidR="00AA3725">
        <w:fldChar w:fldCharType="end"/>
      </w:r>
      <w:r w:rsidRPr="00C40532">
        <w:rPr>
          <w:color w:val="252525"/>
          <w:lang w:val="en-US"/>
        </w:rPr>
        <w:t>, with an estimated personal wealth worth AU$835 million, and multi-billionaire Facebook co-founder</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"https://en.wikipedia.org/wiki/Eduardo_Saverin" \o "Eduardo Saverin"</w:instrText>
      </w:r>
      <w:r w:rsidR="00AA3725">
        <w:fldChar w:fldCharType="separate"/>
      </w:r>
      <w:r w:rsidRPr="00C40532">
        <w:rPr>
          <w:rStyle w:val="a5"/>
          <w:color w:val="0B0080"/>
          <w:lang w:val="en-US"/>
        </w:rPr>
        <w:t>Eduardo Saverin</w:t>
      </w:r>
      <w:r w:rsidR="00AA3725">
        <w:fldChar w:fldCharType="end"/>
      </w:r>
      <w:r w:rsidRPr="00C40532">
        <w:rPr>
          <w:rStyle w:val="apple-converted-space"/>
          <w:rFonts w:eastAsiaTheme="majorEastAsia"/>
          <w:color w:val="252525"/>
          <w:lang w:val="en-US"/>
        </w:rPr>
        <w:t> </w:t>
      </w:r>
      <w:r w:rsidRPr="00C40532">
        <w:rPr>
          <w:color w:val="252525"/>
          <w:lang w:val="en-US"/>
        </w:rPr>
        <w:t xml:space="preserve">are two </w:t>
      </w:r>
      <w:r w:rsidRPr="00C40532">
        <w:rPr>
          <w:color w:val="252525"/>
          <w:lang w:val="en-US"/>
        </w:rPr>
        <w:lastRenderedPageBreak/>
        <w:t>examples of wealthy individuals who have settled in Singapore (Blundy in 2013 and Saverin in 2012). Additionally, Australian mining magnate</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"https://en.wikipedia.org/wiki/Gina_Rinehart" \o "Gina Rinehart"</w:instrText>
      </w:r>
      <w:r w:rsidR="00AA3725">
        <w:fldChar w:fldCharType="separate"/>
      </w:r>
      <w:r w:rsidRPr="00C40532">
        <w:rPr>
          <w:rStyle w:val="a5"/>
          <w:color w:val="0B0080"/>
          <w:lang w:val="en-US"/>
        </w:rPr>
        <w:t>Gina Rinehart</w:t>
      </w:r>
      <w:r w:rsidR="00AA3725">
        <w:fldChar w:fldCharType="end"/>
      </w:r>
      <w:r w:rsidRPr="00C40532">
        <w:rPr>
          <w:rStyle w:val="apple-converted-space"/>
          <w:rFonts w:eastAsiaTheme="majorEastAsia"/>
          <w:color w:val="252525"/>
          <w:lang w:val="en-US"/>
        </w:rPr>
        <w:t> </w:t>
      </w:r>
      <w:r w:rsidRPr="00C40532">
        <w:rPr>
          <w:color w:val="252525"/>
          <w:lang w:val="en-US"/>
        </w:rPr>
        <w:t>owns property in Singapore</w:t>
      </w:r>
      <w:r w:rsidRPr="00C40532">
        <w:rPr>
          <w:rStyle w:val="apple-converted-space"/>
          <w:rFonts w:eastAsiaTheme="majorEastAsia"/>
          <w:color w:val="252525"/>
          <w:lang w:val="en-US"/>
        </w:rPr>
        <w:t> </w:t>
      </w:r>
      <w:r w:rsidRPr="00C40532">
        <w:rPr>
          <w:color w:val="252525"/>
          <w:lang w:val="en-US"/>
        </w:rPr>
        <w:t>and American investor</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"https://en.wikipedia.org/wiki/Jim_Rogers" \o "Jim Rogers"</w:instrText>
      </w:r>
      <w:r w:rsidR="00AA3725">
        <w:fldChar w:fldCharType="separate"/>
      </w:r>
      <w:r w:rsidRPr="00C40532">
        <w:rPr>
          <w:rStyle w:val="a5"/>
          <w:color w:val="0B0080"/>
          <w:lang w:val="en-US"/>
        </w:rPr>
        <w:t>Jim Rogers</w:t>
      </w:r>
      <w:r w:rsidR="00AA3725">
        <w:fldChar w:fldCharType="end"/>
      </w:r>
      <w:r w:rsidRPr="00C40532">
        <w:rPr>
          <w:rStyle w:val="apple-converted-space"/>
          <w:rFonts w:eastAsiaTheme="majorEastAsia"/>
          <w:color w:val="252525"/>
          <w:lang w:val="en-US"/>
        </w:rPr>
        <w:t> </w:t>
      </w:r>
      <w:r w:rsidRPr="00C40532">
        <w:rPr>
          <w:color w:val="252525"/>
          <w:lang w:val="en-US"/>
        </w:rPr>
        <w:t>moved to Singapore in 2007—Rogers has identified the 21st century as an era in which Asia will dominate and wishes for his two daughters to learn Mandarin as a key outcome of the relocation.</w:t>
      </w:r>
      <w:r w:rsidRPr="00C40532">
        <w:rPr>
          <w:rStyle w:val="apple-converted-space"/>
          <w:rFonts w:eastAsiaTheme="majorEastAsia"/>
          <w:color w:val="252525"/>
          <w:lang w:val="en-US"/>
        </w:rPr>
        <w:t> </w:t>
      </w:r>
      <w:r w:rsidRPr="00C40532">
        <w:rPr>
          <w:color w:val="252525"/>
          <w:lang w:val="en-US"/>
        </w:rPr>
        <w:t xml:space="preserve">Chinese Media TV celebrities Jet Li and Gong Li have also taken up naturalised Singapore citizenship. </w:t>
      </w:r>
    </w:p>
    <w:p w:rsidR="00472A60" w:rsidRPr="00C40532" w:rsidRDefault="00472A60" w:rsidP="00472A60">
      <w:pPr>
        <w:pStyle w:val="2"/>
        <w:pBdr>
          <w:bottom w:val="single" w:sz="6" w:space="0" w:color="AAAAAA"/>
        </w:pBdr>
        <w:shd w:val="clear" w:color="auto" w:fill="FFFFFF"/>
        <w:spacing w:before="0" w:beforeAutospacing="0" w:after="0" w:afterAutospacing="0"/>
        <w:ind w:firstLine="709"/>
        <w:jc w:val="both"/>
        <w:rPr>
          <w:rStyle w:val="mw-headline"/>
          <w:b w:val="0"/>
          <w:bCs w:val="0"/>
          <w:color w:val="000000"/>
          <w:sz w:val="24"/>
          <w:szCs w:val="24"/>
          <w:lang w:val="en-US"/>
        </w:rPr>
      </w:pPr>
    </w:p>
    <w:p w:rsidR="00472A60" w:rsidRPr="00C40532" w:rsidRDefault="00472A60" w:rsidP="00472A60">
      <w:pPr>
        <w:pStyle w:val="2"/>
        <w:pBdr>
          <w:bottom w:val="single" w:sz="6" w:space="0" w:color="AAAAAA"/>
        </w:pBdr>
        <w:shd w:val="clear" w:color="auto" w:fill="FFFFFF"/>
        <w:spacing w:before="0" w:beforeAutospacing="0" w:after="0" w:afterAutospacing="0"/>
        <w:ind w:firstLine="709"/>
        <w:jc w:val="both"/>
        <w:rPr>
          <w:bCs w:val="0"/>
          <w:color w:val="000000"/>
          <w:sz w:val="24"/>
          <w:szCs w:val="24"/>
          <w:lang w:val="en-US"/>
        </w:rPr>
      </w:pPr>
      <w:r w:rsidRPr="00C40532">
        <w:rPr>
          <w:rStyle w:val="mw-headline"/>
          <w:bCs w:val="0"/>
          <w:color w:val="000000"/>
          <w:sz w:val="24"/>
          <w:szCs w:val="24"/>
          <w:lang w:val="en-US"/>
        </w:rPr>
        <w:t>Monetary policy</w:t>
      </w:r>
    </w:p>
    <w:p w:rsidR="00472A60" w:rsidRPr="00C40532" w:rsidRDefault="00472A60" w:rsidP="00472A60">
      <w:pPr>
        <w:pStyle w:val="a6"/>
        <w:shd w:val="clear" w:color="auto" w:fill="FFFFFF"/>
        <w:spacing w:before="0" w:beforeAutospacing="0" w:after="0" w:afterAutospacing="0"/>
        <w:ind w:firstLine="709"/>
        <w:jc w:val="both"/>
        <w:rPr>
          <w:color w:val="252525"/>
          <w:lang w:val="en-US"/>
        </w:rPr>
      </w:pPr>
      <w:r w:rsidRPr="00C40532">
        <w:rPr>
          <w:color w:val="252525"/>
          <w:lang w:val="en-US"/>
        </w:rPr>
        <w:t>The</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"https://en.wikipedia.org/wiki/Monetary_Authority_of_Singapore" \o "Monetary Authority of Singapore"</w:instrText>
      </w:r>
      <w:r w:rsidR="00AA3725">
        <w:fldChar w:fldCharType="separate"/>
      </w:r>
      <w:r w:rsidRPr="00C40532">
        <w:rPr>
          <w:rStyle w:val="a5"/>
          <w:color w:val="0B0080"/>
          <w:lang w:val="en-US"/>
        </w:rPr>
        <w:t>Monetary Authority of Singapore</w:t>
      </w:r>
      <w:r w:rsidR="00AA3725">
        <w:fldChar w:fldCharType="end"/>
      </w:r>
      <w:r w:rsidRPr="00C40532">
        <w:rPr>
          <w:rStyle w:val="apple-converted-space"/>
          <w:rFonts w:eastAsiaTheme="majorEastAsia"/>
          <w:color w:val="252525"/>
          <w:lang w:val="en-US"/>
        </w:rPr>
        <w:t> </w:t>
      </w:r>
      <w:r w:rsidRPr="00C40532">
        <w:rPr>
          <w:color w:val="252525"/>
          <w:lang w:val="en-US"/>
        </w:rPr>
        <w:t>is Singapore's</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"https://en.wikipedia.org/wiki/Central_bank" \o "Central bank"</w:instrText>
      </w:r>
      <w:r w:rsidR="00AA3725">
        <w:fldChar w:fldCharType="separate"/>
      </w:r>
      <w:r w:rsidRPr="00C40532">
        <w:rPr>
          <w:rStyle w:val="a5"/>
          <w:color w:val="0B0080"/>
          <w:lang w:val="en-US"/>
        </w:rPr>
        <w:t>central bank</w:t>
      </w:r>
      <w:r w:rsidR="00AA3725">
        <w:fldChar w:fldCharType="end"/>
      </w:r>
      <w:r w:rsidRPr="00C40532">
        <w:rPr>
          <w:rStyle w:val="apple-converted-space"/>
          <w:rFonts w:eastAsiaTheme="majorEastAsia"/>
          <w:color w:val="252525"/>
          <w:lang w:val="en-US"/>
        </w:rPr>
        <w:t> </w:t>
      </w:r>
      <w:r w:rsidRPr="00C40532">
        <w:rPr>
          <w:color w:val="252525"/>
          <w:lang w:val="en-US"/>
        </w:rPr>
        <w:t>and</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"https://en.wikipedia.org/wiki/Financial_regulation" \o "Financial regulation"</w:instrText>
      </w:r>
      <w:r w:rsidR="00AA3725">
        <w:fldChar w:fldCharType="separate"/>
      </w:r>
      <w:r w:rsidRPr="00C40532">
        <w:rPr>
          <w:rStyle w:val="a5"/>
          <w:color w:val="0B0080"/>
          <w:lang w:val="en-US"/>
        </w:rPr>
        <w:t>financial regulatory</w:t>
      </w:r>
      <w:r w:rsidR="00AA3725">
        <w:fldChar w:fldCharType="end"/>
      </w:r>
      <w:r w:rsidRPr="00C40532">
        <w:rPr>
          <w:rStyle w:val="apple-converted-space"/>
          <w:rFonts w:eastAsiaTheme="majorEastAsia"/>
          <w:color w:val="252525"/>
          <w:lang w:val="en-US"/>
        </w:rPr>
        <w:t> </w:t>
      </w:r>
      <w:r w:rsidRPr="00C40532">
        <w:rPr>
          <w:color w:val="252525"/>
          <w:lang w:val="en-US"/>
        </w:rPr>
        <w:t>authority. It administers the various statutes pertaining to money, banking, insurance, securities and the financial sector in general, as well as</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"https://en.wikipedia.org/wiki/Singapore_dollar" \o "Singapore dollar"</w:instrText>
      </w:r>
      <w:r w:rsidR="00AA3725">
        <w:fldChar w:fldCharType="separate"/>
      </w:r>
      <w:r w:rsidRPr="00C40532">
        <w:rPr>
          <w:rStyle w:val="a5"/>
          <w:color w:val="0B0080"/>
          <w:lang w:val="en-US"/>
        </w:rPr>
        <w:t>currency issuance</w:t>
      </w:r>
      <w:r w:rsidR="00AA3725">
        <w:fldChar w:fldCharType="end"/>
      </w:r>
      <w:r w:rsidRPr="00C40532">
        <w:rPr>
          <w:color w:val="252525"/>
          <w:lang w:val="en-US"/>
        </w:rPr>
        <w:t>. The MAS has been given powers to act as a banker to and financial agent of the Government. It has also been entrusted to promote monetary stability, and credit and exchange policies conducive to the growth of the economy.</w:t>
      </w:r>
    </w:p>
    <w:p w:rsidR="00472A60" w:rsidRPr="00C40532" w:rsidRDefault="00472A60" w:rsidP="00472A60">
      <w:pPr>
        <w:pStyle w:val="a6"/>
        <w:shd w:val="clear" w:color="auto" w:fill="FFFFFF"/>
        <w:spacing w:before="0" w:beforeAutospacing="0" w:after="0" w:afterAutospacing="0"/>
        <w:ind w:firstLine="709"/>
        <w:jc w:val="both"/>
        <w:rPr>
          <w:color w:val="252525"/>
          <w:lang w:val="en-US"/>
        </w:rPr>
      </w:pPr>
      <w:r w:rsidRPr="00C40532">
        <w:rPr>
          <w:color w:val="252525"/>
          <w:lang w:val="en-US"/>
        </w:rPr>
        <w:t>Unlike many other central banks such as</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"https://en.wikipedia.org/wiki/Federal_Reserve_System" \o "Federal Reserve System"</w:instrText>
      </w:r>
      <w:r w:rsidR="00AA3725">
        <w:fldChar w:fldCharType="separate"/>
      </w:r>
      <w:r w:rsidRPr="00C40532">
        <w:rPr>
          <w:rStyle w:val="a5"/>
          <w:color w:val="0B0080"/>
          <w:lang w:val="en-US"/>
        </w:rPr>
        <w:t>Federal Reserve System</w:t>
      </w:r>
      <w:r w:rsidR="00AA3725">
        <w:fldChar w:fldCharType="end"/>
      </w:r>
      <w:r w:rsidRPr="00C40532">
        <w:rPr>
          <w:rStyle w:val="apple-converted-space"/>
          <w:rFonts w:eastAsiaTheme="majorEastAsia"/>
          <w:color w:val="252525"/>
          <w:lang w:val="en-US"/>
        </w:rPr>
        <w:t> </w:t>
      </w:r>
      <w:r w:rsidRPr="00C40532">
        <w:rPr>
          <w:color w:val="252525"/>
          <w:lang w:val="en-US"/>
        </w:rPr>
        <w:t>or</w:t>
      </w:r>
      <w:r w:rsidRPr="00C40532">
        <w:rPr>
          <w:rStyle w:val="apple-converted-space"/>
          <w:rFonts w:eastAsiaTheme="majorEastAsia"/>
          <w:color w:val="252525"/>
          <w:lang w:val="en-US"/>
        </w:rPr>
        <w:t> </w:t>
      </w:r>
      <w:r w:rsidR="00AA3725">
        <w:fldChar w:fldCharType="begin"/>
      </w:r>
      <w:r w:rsidR="00AA3725" w:rsidRPr="003E0431">
        <w:rPr>
          <w:lang w:val="en-US"/>
        </w:rPr>
        <w:instrText>HYPERLINK "https://en.wikipedia.org/wiki/Bank_of_England" \o "Bank of England"</w:instrText>
      </w:r>
      <w:r w:rsidR="00AA3725">
        <w:fldChar w:fldCharType="separate"/>
      </w:r>
      <w:r w:rsidRPr="00C40532">
        <w:rPr>
          <w:rStyle w:val="a5"/>
          <w:color w:val="0B0080"/>
          <w:lang w:val="en-US"/>
        </w:rPr>
        <w:t>Bank of England</w:t>
      </w:r>
      <w:r w:rsidR="00AA3725">
        <w:fldChar w:fldCharType="end"/>
      </w:r>
      <w:r w:rsidRPr="00C40532">
        <w:rPr>
          <w:color w:val="252525"/>
          <w:lang w:val="en-US"/>
        </w:rPr>
        <w:t>, MAS does not regulate the monetary system via interest rates to influence the liquidity in the system. Instead, it chooses to do it via the foreign exchange mechanism. It does so by intervening in the SGD market.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pStyle w:val="a6"/>
        <w:shd w:val="clear" w:color="auto" w:fill="FFFFFF"/>
        <w:spacing w:before="0" w:beforeAutospacing="0" w:after="0" w:afterAutospacing="0"/>
        <w:ind w:firstLine="709"/>
        <w:jc w:val="both"/>
        <w:textAlignment w:val="baseline"/>
        <w:rPr>
          <w:b/>
          <w:bCs/>
          <w:color w:val="333333"/>
          <w:bdr w:val="none" w:sz="0" w:space="0" w:color="auto" w:frame="1"/>
          <w:lang w:val="en-US"/>
        </w:rPr>
      </w:pPr>
      <w:r w:rsidRPr="00C40532">
        <w:rPr>
          <w:b/>
          <w:bCs/>
          <w:color w:val="333333"/>
          <w:bdr w:val="none" w:sz="0" w:space="0" w:color="auto" w:frame="1"/>
          <w:lang w:val="en-US"/>
        </w:rPr>
        <w:t>Overview of Singapore's finance industry</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Singapore’s banking system is among the strongest in the world. The banking sector is engaged in a wide range of financial services including traditional lending and deposit-taking functions as well as corporate and investment banking activities. As at March 2005, there were 110 commercial banks, 47 merchant banks and 3 financial companies in the financial sector, with the total assets of commercial banks standing at S$413 billion. 6 banks have been awarded Qualifying Full Bank Licenses.</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The Asian Dollar Market (ADM) is an offshore banking sector whose transactions are primarily US$ denominated. The ADM is an important feature of Singapore’s financial landscape that has played a significant role in Asia’s economic development. Through the ADM, financial institutions play a key role in channelling surplus funds from regional and international financial markets to finance development projects in the region. Since its launch in 1968, the ADM has grown by about 15 times. The total assets in the ADM reached a record high of US$582 billion in December 2004.</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Singapore has the fourth largest foreign exchange market in the world after London, New York and Tokyo, and is widely recognized for its strength as a forex trading hub. Its daily trading volume in 2004 averaged about US$156.6 billion.</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The bond market in Singapore has grown significantly since 1998 when several new initiatives were introduced. To build more market depth and liquidity, more Singapore Government Securities (SGS) were issued. Rules relating to the use of the Singapore Dollar by foreign entities were also liberalized to let foreign players participate more actively in issuing Singapore Dollar bonds. The SGS market reached an important milestone in January 2005 when it became the only Asian country besides Japan to join the prestigious Citigroup World Bond Index (WGBI).</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 xml:space="preserve">The Singapore Exchange (SGX) is the first demutualized, integrated securities and derivatives exchange in the Asia-Pacific. SGX’s derivatives exchange is one of the largest in Asia and is consistently ranked as the “Derivatives Exchange of the Year” by various leading financial journals. SGX’s derivatives market is also the first Asian exchange to offer Eurodollar futures. By </w:t>
      </w:r>
      <w:proofErr w:type="gramStart"/>
      <w:r w:rsidRPr="00C40532">
        <w:rPr>
          <w:lang w:val="en-US"/>
        </w:rPr>
        <w:t>the of</w:t>
      </w:r>
      <w:proofErr w:type="gramEnd"/>
      <w:r w:rsidRPr="00C40532">
        <w:rPr>
          <w:lang w:val="en-US"/>
        </w:rPr>
        <w:t xml:space="preserve"> 2004, a total of 462 companies were listed on the mainboard and 163 companies were listed on SESDAQ.</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lastRenderedPageBreak/>
        <w:t>Singapore is acknowledged as a premier Asian asset management centre, with more than 200 international asset management firms, including 30 of the top 50 US and European fund houses, to serve the Asia-Pacific market. Many asset management companies have expanded services in Singapore to include more than just portfolio management, and have now set up research arms, regional trading desks, as well as centralized middle and back offices functions. Over the last decade, the industry has registered an average annual growth of 28% in assets under management (AUMs).</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Many of the world’s leading names in insurance broking, captive management and risk management are present in Singapore, with numerous re-insurers and captive insurers using Singapore as a base to underwrite risks from the region, in addition to meeting the needs of the domestic market. The offshore insurance business has become a major component of the industry, accounting for more than half of the total general insurance business.</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p>
    <w:p w:rsidR="00472A60" w:rsidRPr="00C40532" w:rsidRDefault="00472A60" w:rsidP="00472A60">
      <w:pPr>
        <w:pStyle w:val="a6"/>
        <w:shd w:val="clear" w:color="auto" w:fill="FFFFFF"/>
        <w:spacing w:before="0" w:beforeAutospacing="0" w:after="0" w:afterAutospacing="0"/>
        <w:ind w:firstLine="709"/>
        <w:jc w:val="both"/>
        <w:textAlignment w:val="baseline"/>
        <w:rPr>
          <w:b/>
          <w:bCs/>
          <w:color w:val="333333"/>
          <w:bdr w:val="none" w:sz="0" w:space="0" w:color="auto" w:frame="1"/>
          <w:lang w:val="en-US"/>
        </w:rPr>
      </w:pPr>
      <w:proofErr w:type="gramStart"/>
      <w:r w:rsidRPr="00C40532">
        <w:rPr>
          <w:b/>
          <w:bCs/>
          <w:color w:val="333333"/>
          <w:bdr w:val="none" w:sz="0" w:space="0" w:color="auto" w:frame="1"/>
          <w:lang w:val="en-US"/>
        </w:rPr>
        <w:t>Singapore VS.</w:t>
      </w:r>
      <w:proofErr w:type="gramEnd"/>
      <w:r w:rsidRPr="00C40532">
        <w:rPr>
          <w:b/>
          <w:bCs/>
          <w:color w:val="333333"/>
          <w:bdr w:val="none" w:sz="0" w:space="0" w:color="auto" w:frame="1"/>
          <w:lang w:val="en-US"/>
        </w:rPr>
        <w:t xml:space="preserve"> Hongkong</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 xml:space="preserve">Singapore is not the only major financial centre in the Asia-Pacific. Within this region, rising stars such as Mumbai and Shanghai are making rapid progress towards becoming important financial centres as well. For the moment though, Singapore and Hong Kong are still considered the two most important centres in the region. Like Singapore, Hong Kong is politically stable and is endowed with well-developed financial and legal systems. But significant differences do exist between the two </w:t>
      </w:r>
      <w:proofErr w:type="gramStart"/>
      <w:r w:rsidRPr="00C40532">
        <w:rPr>
          <w:lang w:val="en-US"/>
        </w:rPr>
        <w:t>cities,</w:t>
      </w:r>
      <w:proofErr w:type="gramEnd"/>
      <w:r w:rsidRPr="00C40532">
        <w:rPr>
          <w:lang w:val="en-US"/>
        </w:rPr>
        <w:t xml:space="preserve"> enough for each city develop its own niche instead of competing directly against each other.</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Hong Kong’s proximity to mainland China and Taiwan, and its predominant Chinese population (98%), makes it the natural choice for clients from both territories. The explosion of wealthy individuals in China ensures that Hong Kong has relatively easy access to a growing pool of rich clients. Hong Kong enjoys an obvious advantage over other financial centres when it comes to serving the Greater China market.</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 xml:space="preserve">This does not mean that Singapore has lost out. On the contrary, Singapore holds an edge over Hong Kong when it comes to cultural diversity. Members of the all the major races in the region are represented in </w:t>
      </w:r>
      <w:proofErr w:type="gramStart"/>
      <w:r w:rsidRPr="00C40532">
        <w:rPr>
          <w:lang w:val="en-US"/>
        </w:rPr>
        <w:t>Singapore,</w:t>
      </w:r>
      <w:proofErr w:type="gramEnd"/>
      <w:r w:rsidRPr="00C40532">
        <w:rPr>
          <w:lang w:val="en-US"/>
        </w:rPr>
        <w:t xml:space="preserve"> and this diversity allows Singapore to market itself effectively to all the different countries in the region. In fact, Singapore is now beginning to venture outside of Southeast Asia, and its wealth managers have been reaching out to clients as far away as India, the Middle East and Eastern Europe.</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It is clear therefore that Hong Kong and Singapore can co-exist as major financial centres, because they are each operating in very different markets. The MAS has estimated there is perhaps room for only two major centres in Asia-Pacific outside of Japan, so every effort has been taken to ensure that Singapore remains a destination of choice for international capital heading to the region.</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Regulatory Framework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market is controlled and supervised by the Monetary Authority of Singapore (MAS), the central bank and financial regulatory authority of Singapore. This provides </w:t>
      </w:r>
      <w:proofErr w:type="gramStart"/>
      <w:r w:rsidRPr="00C40532">
        <w:rPr>
          <w:rFonts w:ascii="Times New Roman" w:hAnsi="Times New Roman" w:cs="Times New Roman"/>
          <w:sz w:val="24"/>
          <w:szCs w:val="24"/>
          <w:lang w:val="en-US"/>
        </w:rPr>
        <w:t>transparency,</w:t>
      </w:r>
      <w:proofErr w:type="gramEnd"/>
      <w:r w:rsidRPr="00C40532">
        <w:rPr>
          <w:rFonts w:ascii="Times New Roman" w:hAnsi="Times New Roman" w:cs="Times New Roman"/>
          <w:sz w:val="24"/>
          <w:szCs w:val="24"/>
          <w:lang w:val="en-US"/>
        </w:rPr>
        <w:t xml:space="preserve"> fair dealing conditions and maintains a stable financial system. Furthermore, the IRAS (Inland Revenue Authority Singapore), another statutory board member of the Singapore government, plays a complementary role in ensuring that tax rules and laws are kept in tandem with the growth and development of the financial sector. An additional supervising organization is the Institute of Banking and Finance (IBF) which is a national accreditation and certification agency for financial industry competency under the Financial Industry Competency Standards (FICS) framework.</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Major players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Here is a list of various banks in Singapore: </w:t>
      </w:r>
    </w:p>
    <w:tbl>
      <w:tblPr>
        <w:tblStyle w:val="a8"/>
        <w:tblW w:w="0" w:type="auto"/>
        <w:tblLook w:val="04A0"/>
      </w:tblPr>
      <w:tblGrid>
        <w:gridCol w:w="3190"/>
        <w:gridCol w:w="3190"/>
        <w:gridCol w:w="3191"/>
      </w:tblGrid>
      <w:tr w:rsidR="00472A60" w:rsidRPr="00C40532" w:rsidTr="000A0C98">
        <w:tc>
          <w:tcPr>
            <w:tcW w:w="3190" w:type="dxa"/>
          </w:tcPr>
          <w:p w:rsidR="00472A60" w:rsidRPr="00C40532" w:rsidRDefault="00472A60" w:rsidP="000A0C98">
            <w:pPr>
              <w:jc w:val="both"/>
              <w:rPr>
                <w:rFonts w:ascii="Times New Roman" w:hAnsi="Times New Roman" w:cs="Times New Roman"/>
                <w:sz w:val="24"/>
                <w:szCs w:val="24"/>
              </w:rPr>
            </w:pPr>
            <w:r w:rsidRPr="00C40532">
              <w:rPr>
                <w:rFonts w:ascii="Times New Roman" w:hAnsi="Times New Roman" w:cs="Times New Roman"/>
                <w:sz w:val="24"/>
                <w:szCs w:val="24"/>
                <w:lang w:val="en-US"/>
              </w:rPr>
              <w:lastRenderedPageBreak/>
              <w:t>Singaporean banks</w:t>
            </w:r>
          </w:p>
        </w:tc>
        <w:tc>
          <w:tcPr>
            <w:tcW w:w="3190" w:type="dxa"/>
          </w:tcPr>
          <w:p w:rsidR="00472A60" w:rsidRPr="00C40532" w:rsidRDefault="00472A60" w:rsidP="000A0C98">
            <w:pPr>
              <w:jc w:val="both"/>
              <w:rPr>
                <w:rFonts w:ascii="Times New Roman" w:hAnsi="Times New Roman" w:cs="Times New Roman"/>
                <w:sz w:val="24"/>
                <w:szCs w:val="24"/>
              </w:rPr>
            </w:pPr>
            <w:r w:rsidRPr="00C40532">
              <w:rPr>
                <w:rFonts w:ascii="Times New Roman" w:hAnsi="Times New Roman" w:cs="Times New Roman"/>
                <w:sz w:val="24"/>
                <w:szCs w:val="24"/>
                <w:lang w:val="en-US"/>
              </w:rPr>
              <w:t>International banks</w:t>
            </w:r>
          </w:p>
        </w:tc>
        <w:tc>
          <w:tcPr>
            <w:tcW w:w="3191" w:type="dxa"/>
          </w:tcPr>
          <w:p w:rsidR="00472A60" w:rsidRPr="00C40532" w:rsidRDefault="00472A60" w:rsidP="000A0C98">
            <w:pPr>
              <w:jc w:val="both"/>
              <w:rPr>
                <w:rFonts w:ascii="Times New Roman" w:hAnsi="Times New Roman" w:cs="Times New Roman"/>
                <w:sz w:val="24"/>
                <w:szCs w:val="24"/>
              </w:rPr>
            </w:pPr>
            <w:r w:rsidRPr="00C40532">
              <w:rPr>
                <w:rFonts w:ascii="Times New Roman" w:hAnsi="Times New Roman" w:cs="Times New Roman"/>
                <w:sz w:val="24"/>
                <w:szCs w:val="24"/>
                <w:lang w:val="en-US"/>
              </w:rPr>
              <w:t>German banks</w:t>
            </w:r>
          </w:p>
        </w:tc>
      </w:tr>
      <w:tr w:rsidR="00472A60" w:rsidRPr="00C40532" w:rsidTr="000A0C98">
        <w:tc>
          <w:tcPr>
            <w:tcW w:w="3190" w:type="dxa"/>
          </w:tcPr>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DBS (Development Bank of Singapore)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UOB (United Overseas Bank)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OCBC (Overseas Chinese Banking Corporation) </w:t>
            </w:r>
          </w:p>
          <w:p w:rsidR="00472A60" w:rsidRPr="00C40532" w:rsidRDefault="00472A60" w:rsidP="000A0C98">
            <w:pPr>
              <w:jc w:val="both"/>
              <w:rPr>
                <w:rFonts w:ascii="Times New Roman" w:hAnsi="Times New Roman" w:cs="Times New Roman"/>
                <w:sz w:val="24"/>
                <w:szCs w:val="24"/>
                <w:lang w:val="en-US"/>
              </w:rPr>
            </w:pP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(According to BankScope – a world banking information source - these are the top 3 banks in Singapore based on asset.)</w:t>
            </w:r>
          </w:p>
        </w:tc>
        <w:tc>
          <w:tcPr>
            <w:tcW w:w="3190" w:type="dxa"/>
          </w:tcPr>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HSBC (Hong Kong &amp; Shanghai Banking Corp)</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 Bank Of Tokyo-Mitsubishi Ltd</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 Credit Suisse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Bank of China</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 Citibank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Bangkok Bank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Bank of India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Bank of Taiwan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Commonwealth Bank of Australia</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 Royal Bank of Canada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Standard Chartered Bank</w:t>
            </w:r>
          </w:p>
        </w:tc>
        <w:tc>
          <w:tcPr>
            <w:tcW w:w="3191" w:type="dxa"/>
          </w:tcPr>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Deutsche Bank AG</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 LBBW</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 Commerzbank AG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UniCredit Bank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HSH Nordbank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Nord/LB </w:t>
            </w:r>
          </w:p>
          <w:p w:rsidR="00472A60" w:rsidRPr="00C40532" w:rsidRDefault="00472A60" w:rsidP="000A0C98">
            <w:pPr>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DZ Bank AG/ DZ Privatbank</w:t>
            </w:r>
          </w:p>
          <w:p w:rsidR="00472A60" w:rsidRPr="00C40532" w:rsidRDefault="00472A60" w:rsidP="000A0C98">
            <w:pPr>
              <w:jc w:val="both"/>
              <w:rPr>
                <w:rFonts w:ascii="Times New Roman" w:hAnsi="Times New Roman" w:cs="Times New Roman"/>
                <w:sz w:val="24"/>
                <w:szCs w:val="24"/>
                <w:lang w:val="en-US"/>
              </w:rPr>
            </w:pPr>
          </w:p>
        </w:tc>
      </w:tr>
    </w:tbl>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pStyle w:val="a4"/>
        <w:numPr>
          <w:ilvl w:val="0"/>
          <w:numId w:val="25"/>
        </w:numPr>
        <w:spacing w:after="0" w:line="240" w:lineRule="auto"/>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The state budget</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 the structure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costs and revenues.</w:t>
      </w: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pacing w:after="0" w:line="240" w:lineRule="auto"/>
        <w:ind w:firstLine="708"/>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public finance system of Singapore consists of four “pillars”: the budget sector itself; the Central Provident Fund; the government investment agencies; and various special funds not consolidated into the budget. The budget process is characterised by close interministerial co-operation and the use of constitutional fiscal rules, spending ceilings for ministries (“block budgets”), across-the-board budget extractions (spending cuts), endowment funds, central manpower controls, and continual underspending. Parliament has a limited role. The President of the Republic has an important role as “fiscal guardian”. The article describes these particular features of the Singapore budget process, and discusses other elements of budget implementation and government management such as the organisational structure of the government, the execution of budget appropriations, personnel management, financial management and reporting, and performance and results initiatives.</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order to understand the architecture of Singapore’s public finance system, it is useful to think of it as consisting of four “pillars”: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first is the budget sector itself.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second is the Central Provident Fund, which takes on the funding of many social services traditionally undertaken by the budget sector in OECD countries.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third is the government investment agencies. They manage the extensive surpluses generated by the budget sector and the Central Provident Fund over the years and yield significant annual investment incomes.</w:t>
      </w:r>
    </w:p>
    <w:p w:rsidR="00472A60" w:rsidRPr="00C40532" w:rsidRDefault="00472A60" w:rsidP="00472A60">
      <w:pPr>
        <w:spacing w:after="0" w:line="240" w:lineRule="auto"/>
        <w:ind w:firstLine="709"/>
        <w:jc w:val="both"/>
        <w:rPr>
          <w:rStyle w:val="hps"/>
          <w:rFonts w:ascii="Times New Roman" w:hAnsi="Times New Roman" w:cs="Times New Roman"/>
          <w:sz w:val="24"/>
          <w:szCs w:val="24"/>
          <w:lang w:val="en-US"/>
        </w:rPr>
      </w:pPr>
      <w:r w:rsidRPr="00C40532">
        <w:rPr>
          <w:rFonts w:ascii="Times New Roman" w:hAnsi="Times New Roman" w:cs="Times New Roman"/>
          <w:sz w:val="24"/>
          <w:szCs w:val="24"/>
          <w:lang w:val="en-US"/>
        </w:rPr>
        <w:t>The fourth is the operation of various special funds that are not consolidated into the government’s overall budget position.</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Central Provident Fund</w:t>
      </w:r>
    </w:p>
    <w:p w:rsidR="00472A60" w:rsidRPr="00C40532" w:rsidRDefault="00472A60" w:rsidP="00472A60">
      <w:pPr>
        <w:spacing w:after="0" w:line="240" w:lineRule="auto"/>
        <w:ind w:firstLine="709"/>
        <w:jc w:val="both"/>
        <w:rPr>
          <w:rStyle w:val="hps"/>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Central Provident Fund (CPF) is a mandatory savings scheme financed by payroll contributions from both employers and employees. The combined contribution rate is currently 33%, with 20% paid by the employee and 13% by the employer. These contributions are credited to the member’s personal account at the CPF which pays nominal interest on members’ balances. The CPF allows its members to withdraw funds to pay for approved uses such as housing, retirement and medical costs for themselves and immediate family members. The CPF is the centrepiece of Singapore’s “personal responsibility” system for the provision of social services. The individual accounts in the CPF are the property of the member, and any remaining balances form part of their </w:t>
      </w:r>
      <w:r w:rsidRPr="00C40532">
        <w:rPr>
          <w:rFonts w:ascii="Times New Roman" w:hAnsi="Times New Roman" w:cs="Times New Roman"/>
          <w:sz w:val="24"/>
          <w:szCs w:val="24"/>
          <w:lang w:val="en-US"/>
        </w:rPr>
        <w:lastRenderedPageBreak/>
        <w:t>estate upon death. The Central Provident Fund relieves the budget sector from having to finance these social services for the most part. The CPF generates large amounts of “surplus” cash-flow from members’ contributions each year. These funds are invested in government securities. This largely explains why the Singapore government has high levels of domestic liabilities despite the budget sector having accumulated surpluses over the years and not needing debt financing. These surpluses are then invested by the third pillar of the public finance system: the government investment agencies.</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Government investment agencies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government has two principal investment agencies: the Government of Singapore Investment Corporation and the Temasek Holdings Private Limited Company. Both investment agencies are responsible to the Ministry of Finance. In addition, the Monetary Authority of Singapore – the central bank – maintains extensive holdings in foreign currencies to back the Singapore dollar. The level of disclosure on the operations of the investment agencies – especially the Government of Singapore Investment Corporation – is very low. The government’s view is that releasing such information may lead to speculation in the market and may adversely impact Singapore’s economic stability and national security. The differential in the rate of return achieved by the investment agencies and the interest paid on the balances in individual CPF accounts – which is a principal source of the surpluses invested – may also be sensitive. The Government of Singapore Investment Corporation acts “as a fund manager for the Singapore government” and focuses on the overseas investment of Singapore's surpluses. Its corporate profile notes that it invests “in equities, fixed income, money market instruments, </w:t>
      </w:r>
      <w:proofErr w:type="gramStart"/>
      <w:r w:rsidRPr="00C40532">
        <w:rPr>
          <w:rFonts w:ascii="Times New Roman" w:hAnsi="Times New Roman" w:cs="Times New Roman"/>
          <w:sz w:val="24"/>
          <w:szCs w:val="24"/>
          <w:lang w:val="en-US"/>
        </w:rPr>
        <w:t>real</w:t>
      </w:r>
      <w:proofErr w:type="gramEnd"/>
      <w:r w:rsidRPr="00C40532">
        <w:rPr>
          <w:rFonts w:ascii="Times New Roman" w:hAnsi="Times New Roman" w:cs="Times New Roman"/>
          <w:sz w:val="24"/>
          <w:szCs w:val="24"/>
          <w:lang w:val="en-US"/>
        </w:rPr>
        <w:t xml:space="preserve"> estate and special investments” and that it manages “more than USD 100 billion” in accumulated surpluses. No further information is released – neither the amount of its total assets (some believe that it is significantly “more than USD 100 billion”), nor the composition of its assets (either by types of instruments, geography or currency), nor the rates of return achieved on its portfolio. The Temasek Holdings Private Limited Company operates “as an independent company separate from the government, but the government holds a 100% equity stake as an investor in the company.” Temasek manages direct corporate shareholdings – both in Singapore and abroad – and its portfolio is wide-ranging. According to its corporate profile, it includes “telecommunications and media, financial services, property, transportation and logistics, energy and resources, infrastructure, engineering and technology, as well as pharmaceuticals and biosciences.” It publishes an annual “Temasek Review” which provides details on its portfolio. Temasek acts as an “active commercial investor”. Several of the companies are listed on the market in Singapore and overseas. It reports that the value of its portfolio is currently “SGD 103 billion2 as at 31 March 2005, and has achieved total shareholder’s return since inception (1974) of 18% compounded annually.” The Constitution contains a fiscal rule that limits the use of investment income generated by the investment of surpluses as well as providing extensive safety mechanisms to guard the reserves. This is discussed in subsequent sections of this article.</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Other funds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Singapore operates several special funds that are not consolidated in the reporting of the budget to Parliament. (These funds are governed by specific acts.) The outstanding example is the Government Securities Fund; this is where the Central Provident Fund invests its surplus funds. The interest paid to the CPF is however netted against the investment income earned by the government investment agencies. As a result, the budget sector of Singapore shows no interest expense for the bonds purchased by the CPF. Similarly, government expenditure for the purchase of land is offset against income received from the sale of land. There are also endowment funds. The government created special funds and capitalised them at high levels during years of high budget surpluses. The funds in turn yield an annual return that is used to fund various specific social expenses as specified by the acts which govern these endowment funds. These are discussed further in the section on </w:t>
      </w:r>
      <w:r w:rsidRPr="00C40532">
        <w:rPr>
          <w:rFonts w:ascii="Times New Roman" w:hAnsi="Times New Roman" w:cs="Times New Roman"/>
          <w:sz w:val="24"/>
          <w:szCs w:val="24"/>
          <w:lang w:val="en-US"/>
        </w:rPr>
        <w:lastRenderedPageBreak/>
        <w:t>budget formulation. Singapore views this treatment as easing the management and administration of the funds and their underlying transactions.</w:t>
      </w: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Budget sector </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existence of the large accumulated reserves has resulted in the use of unique budget concepts in Singapore. In short, they aim to foster fiscal discipline and sustainability by limiting the use of the investment income earned on the accumulated past surpluses. At first, this was accomplished by using the “operating revenue” concept. This meant that investment income was not treated as revenue for budgetary purposes. Only taxes and user fees were considered as revenue. This resulted in the government’s real surplus being substantially higher than its reported surpluses, or even reported deficits. In 2000, Singapore’s budget concepts were revised, and parts of net investment income derived from the investment of past surpluses were now treated as revenue for budgetary purposes. This was an implicit recognition of the tight fiscal realities going forward and the need to rely on net investment income contributions to fund required expenditure. In accordance with Singapore’s fiscal rule (described in the next section), up to half of the annual realised net investment income could be used by the budget sector. However, this is a maximum amount and the government does not report what share of net investment income it actually used during a given year. The concept is somewhat euphemistically known as “total revenue”. The government’s total surpluses (inclusive of all investment income) continue however to be under-reported in the budget sector with this concept. As a result, the performance of the budget sector does not give a comparable picture of Singapore’s fiscal performance vis-à-vis OECD countries. The government’s fiscal performance has been better than reported in the budget sector each year. With this caveat, Figure 1 shows the evolution of Singapore’s fiscal performance since fiscal year 1986 according to the “total revenue” concept.</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As can be seen, the budget sector experienced reported deficits in the late 1980s, which was a difficult economic time. In the 1990s, it reported surpluses every year – often very significant surpluses, and even during the Asian financial crisis. Since the millennium, Singapore has experienced both surpluses and deficits, although as a whole it has been roughly in balance. Events such as 9/11 and SARS adversely affected the fiscal performance during this period. During the 1990s, revenue averaged about 20% of GDP. It has shown a decline starting with the Asian financial crisis which brought on both lower economic growth and tax cuts in order to boost Singapore’s competitiveness. During this time, Singapore has also been changing the emphasis of its tax system to a greater reliance on indirect (consumption) taxes. Expenditures have moved in a range between 15% and 20% of GDP during most of this time period. In discussing expenditures, it is important to note that capital expenditures account for a very large percentage of total expenditures in Singapore – about one-third of total expenditures. The timing of individual projects largely explains the differences in individual years, although there was a distinct upward trend in overall expenditures during the 1990s which has since been arrested.</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Other noteworthy features of the expenditures of Singapore’s budget sector include the near absence of transfer payments (which are funded by the individual accounts at the Central Provident Fund) and interest expenses (which are netted out below-the-line against investment income).</w:t>
      </w: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tax</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Singapore</w:t>
      </w:r>
      <w:r w:rsidRPr="00C40532">
        <w:rPr>
          <w:rFonts w:ascii="Times New Roman" w:hAnsi="Times New Roman" w:cs="Times New Roman"/>
          <w:b/>
          <w:sz w:val="24"/>
          <w:szCs w:val="24"/>
          <w:lang w:val="en-US"/>
        </w:rPr>
        <w:t>.</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There are three main sources of government operating revenue, namely tax revenue, fees and charges and other receipts. Tax revenue accounts for 88.9% of the government operating revenue for the financial year 2014/15.  The most significant is tax revenue from the various taxes imposed by the government, which are as follows.</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rPr>
      </w:pPr>
      <w:r w:rsidRPr="00C40532">
        <w:rPr>
          <w:rFonts w:ascii="Times New Roman" w:eastAsia="Times New Roman" w:hAnsi="Times New Roman" w:cs="Times New Roman"/>
          <w:b/>
          <w:bCs/>
          <w:color w:val="444444"/>
          <w:sz w:val="24"/>
          <w:szCs w:val="24"/>
        </w:rPr>
        <w:t>Income Tax</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Income tax is chargeable on income of individuals and companies.</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rPr>
      </w:pPr>
      <w:r w:rsidRPr="00C40532">
        <w:rPr>
          <w:rFonts w:ascii="Times New Roman" w:eastAsia="Times New Roman" w:hAnsi="Times New Roman" w:cs="Times New Roman"/>
          <w:b/>
          <w:bCs/>
          <w:color w:val="444444"/>
          <w:sz w:val="24"/>
          <w:szCs w:val="24"/>
        </w:rPr>
        <w:t>Property Tax</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lastRenderedPageBreak/>
        <w:t>Property tax is imposed on owners of properties based on the expected rental values of the properties.</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b/>
          <w:bCs/>
          <w:color w:val="444444"/>
          <w:sz w:val="24"/>
          <w:szCs w:val="24"/>
          <w:lang w:val="en-US"/>
        </w:rPr>
        <w:t>Estate Duty (Removed for deaths occurring on or after 15 Feb 2008)</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Estate duty is levied on the value of a deceased's net assets in excess of a threshold amount.</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rPr>
      </w:pPr>
      <w:r w:rsidRPr="00C40532">
        <w:rPr>
          <w:rFonts w:ascii="Times New Roman" w:eastAsia="Times New Roman" w:hAnsi="Times New Roman" w:cs="Times New Roman"/>
          <w:b/>
          <w:bCs/>
          <w:color w:val="444444"/>
          <w:sz w:val="24"/>
          <w:szCs w:val="24"/>
        </w:rPr>
        <w:t>Motor Vehicle Taxes</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These are taxes, other than import duties, that are imposed on motor vehicles. These taxes are imposed to curb car ownership and road congestion.</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rPr>
      </w:pPr>
      <w:r w:rsidRPr="00C40532">
        <w:rPr>
          <w:rFonts w:ascii="Times New Roman" w:eastAsia="Times New Roman" w:hAnsi="Times New Roman" w:cs="Times New Roman"/>
          <w:b/>
          <w:bCs/>
          <w:color w:val="444444"/>
          <w:sz w:val="24"/>
          <w:szCs w:val="24"/>
        </w:rPr>
        <w:t>Customs &amp; Excise Duties</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Singapore is a free port and has relatively few excise and import duties. Excise duties are imposed principally on tobacco, petroleum products and liquors. Also, very few products are subject to import duties. The duties are mainly on motor vehicles, tobacco, liquor and petroleum products.</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rPr>
      </w:pPr>
      <w:r w:rsidRPr="00C40532">
        <w:rPr>
          <w:rFonts w:ascii="Times New Roman" w:eastAsia="Times New Roman" w:hAnsi="Times New Roman" w:cs="Times New Roman"/>
          <w:b/>
          <w:bCs/>
          <w:color w:val="444444"/>
          <w:sz w:val="24"/>
          <w:szCs w:val="24"/>
        </w:rPr>
        <w:t>Goods &amp; Services Tax</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GST is a tax on consumption. The tax is paid when money is spent on goods or services, including imports.</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rPr>
      </w:pPr>
      <w:r w:rsidRPr="00C40532">
        <w:rPr>
          <w:rFonts w:ascii="Times New Roman" w:eastAsia="Times New Roman" w:hAnsi="Times New Roman" w:cs="Times New Roman"/>
          <w:b/>
          <w:bCs/>
          <w:color w:val="444444"/>
          <w:sz w:val="24"/>
          <w:szCs w:val="24"/>
        </w:rPr>
        <w:t>Betting Taxes</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These are duties on private lottery, betting &amp; sweepstake.</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b/>
          <w:bCs/>
          <w:color w:val="444444"/>
          <w:sz w:val="24"/>
          <w:szCs w:val="24"/>
          <w:lang w:val="en-US"/>
        </w:rPr>
        <w:t>Casino Tax</w:t>
      </w:r>
    </w:p>
    <w:p w:rsidR="00472A60" w:rsidRPr="00C40532" w:rsidRDefault="00472A60" w:rsidP="00472A60">
      <w:pPr>
        <w:shd w:val="clear" w:color="auto" w:fill="FFFFFF"/>
        <w:spacing w:after="0" w:line="240" w:lineRule="auto"/>
        <w:ind w:left="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The casino tax is a new tax levied on the casinos’ gross gaming revenue. </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rPr>
      </w:pPr>
      <w:r w:rsidRPr="00C40532">
        <w:rPr>
          <w:rFonts w:ascii="Times New Roman" w:eastAsia="Times New Roman" w:hAnsi="Times New Roman" w:cs="Times New Roman"/>
          <w:b/>
          <w:bCs/>
          <w:color w:val="444444"/>
          <w:sz w:val="24"/>
          <w:szCs w:val="24"/>
        </w:rPr>
        <w:t>Stamp Duties</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This is imposed on commercial and legal documents relating to stock &amp; shares and immovable property.</w:t>
      </w:r>
    </w:p>
    <w:p w:rsidR="00472A60" w:rsidRPr="00C40532" w:rsidRDefault="00472A60" w:rsidP="00472A60">
      <w:pPr>
        <w:numPr>
          <w:ilvl w:val="0"/>
          <w:numId w:val="24"/>
        </w:numPr>
        <w:shd w:val="clear" w:color="auto" w:fill="FFFFFF"/>
        <w:spacing w:after="0" w:line="240" w:lineRule="auto"/>
        <w:ind w:left="0" w:firstLine="709"/>
        <w:jc w:val="both"/>
        <w:rPr>
          <w:rFonts w:ascii="Times New Roman" w:eastAsia="Times New Roman" w:hAnsi="Times New Roman" w:cs="Times New Roman"/>
          <w:color w:val="444444"/>
          <w:sz w:val="24"/>
          <w:szCs w:val="24"/>
        </w:rPr>
      </w:pPr>
      <w:r w:rsidRPr="00C40532">
        <w:rPr>
          <w:rFonts w:ascii="Times New Roman" w:eastAsia="Times New Roman" w:hAnsi="Times New Roman" w:cs="Times New Roman"/>
          <w:b/>
          <w:bCs/>
          <w:color w:val="444444"/>
          <w:sz w:val="24"/>
          <w:szCs w:val="24"/>
        </w:rPr>
        <w:t>Others</w:t>
      </w:r>
    </w:p>
    <w:p w:rsidR="00472A60" w:rsidRPr="00C40532" w:rsidRDefault="00472A60" w:rsidP="00472A60">
      <w:pPr>
        <w:shd w:val="clear" w:color="auto" w:fill="FFFFFF"/>
        <w:spacing w:after="0" w:line="240" w:lineRule="auto"/>
        <w:ind w:firstLine="709"/>
        <w:jc w:val="both"/>
        <w:rPr>
          <w:rFonts w:ascii="Times New Roman" w:eastAsia="Times New Roman" w:hAnsi="Times New Roman" w:cs="Times New Roman"/>
          <w:color w:val="444444"/>
          <w:sz w:val="24"/>
          <w:szCs w:val="24"/>
          <w:lang w:val="en-US"/>
        </w:rPr>
      </w:pPr>
      <w:r w:rsidRPr="00C40532">
        <w:rPr>
          <w:rFonts w:ascii="Times New Roman" w:eastAsia="Times New Roman" w:hAnsi="Times New Roman" w:cs="Times New Roman"/>
          <w:color w:val="444444"/>
          <w:sz w:val="24"/>
          <w:szCs w:val="24"/>
          <w:lang w:val="en-US"/>
        </w:rPr>
        <w:t>The two main taxes are the foreign worker levy and the airport passenger service charge. The foreign worker levy is imposed to regulate the employment of foreign workers in Singapore.</w:t>
      </w:r>
    </w:p>
    <w:p w:rsidR="00472A60" w:rsidRPr="00C40532" w:rsidRDefault="00472A60" w:rsidP="00472A60">
      <w:pPr>
        <w:pStyle w:val="2"/>
        <w:shd w:val="clear" w:color="auto" w:fill="FFFFFF"/>
        <w:spacing w:before="0" w:beforeAutospacing="0" w:after="0" w:afterAutospacing="0"/>
        <w:ind w:firstLine="709"/>
        <w:jc w:val="both"/>
        <w:textAlignment w:val="baseline"/>
        <w:rPr>
          <w:b w:val="0"/>
          <w:bCs w:val="0"/>
          <w:sz w:val="24"/>
          <w:szCs w:val="24"/>
          <w:lang w:val="en-US"/>
        </w:rPr>
      </w:pPr>
    </w:p>
    <w:p w:rsidR="00472A60" w:rsidRPr="00C40532" w:rsidRDefault="00472A60" w:rsidP="00472A60">
      <w:pPr>
        <w:pStyle w:val="2"/>
        <w:shd w:val="clear" w:color="auto" w:fill="FFFFFF"/>
        <w:spacing w:before="0" w:beforeAutospacing="0" w:after="0" w:afterAutospacing="0"/>
        <w:ind w:firstLine="709"/>
        <w:jc w:val="both"/>
        <w:textAlignment w:val="baseline"/>
        <w:rPr>
          <w:bCs w:val="0"/>
          <w:sz w:val="24"/>
          <w:szCs w:val="24"/>
          <w:lang w:val="en-US"/>
        </w:rPr>
      </w:pPr>
      <w:r w:rsidRPr="00C40532">
        <w:rPr>
          <w:bCs w:val="0"/>
          <w:sz w:val="24"/>
          <w:szCs w:val="24"/>
          <w:lang w:val="en-US"/>
        </w:rPr>
        <w:t>Current Tax Rates in Singapore</w:t>
      </w:r>
    </w:p>
    <w:p w:rsidR="00472A60" w:rsidRPr="00C40532" w:rsidRDefault="00472A60" w:rsidP="00472A60">
      <w:pPr>
        <w:pStyle w:val="3"/>
        <w:shd w:val="clear" w:color="auto" w:fill="FFFFFF"/>
        <w:spacing w:before="0" w:line="240" w:lineRule="auto"/>
        <w:ind w:firstLine="709"/>
        <w:jc w:val="both"/>
        <w:textAlignment w:val="baseline"/>
        <w:rPr>
          <w:rFonts w:ascii="Times New Roman" w:hAnsi="Times New Roman" w:cs="Times New Roman"/>
          <w:color w:val="auto"/>
          <w:sz w:val="24"/>
          <w:szCs w:val="24"/>
          <w:lang w:val="en-US"/>
        </w:rPr>
      </w:pPr>
      <w:r w:rsidRPr="00C40532">
        <w:rPr>
          <w:rFonts w:ascii="Times New Roman" w:hAnsi="Times New Roman" w:cs="Times New Roman"/>
          <w:color w:val="auto"/>
          <w:sz w:val="24"/>
          <w:szCs w:val="24"/>
          <w:lang w:val="en-US"/>
        </w:rPr>
        <w:t>Corporate Tax Rates</w:t>
      </w:r>
    </w:p>
    <w:tbl>
      <w:tblPr>
        <w:tblW w:w="5000" w:type="pct"/>
        <w:tblBorders>
          <w:top w:val="single" w:sz="6" w:space="0" w:color="CCCCCC"/>
          <w:left w:val="single" w:sz="6" w:space="0" w:color="CCCCCC"/>
          <w:bottom w:val="single" w:sz="6" w:space="0" w:color="CCCCCC"/>
          <w:right w:val="single" w:sz="6" w:space="0" w:color="CCCCCC"/>
        </w:tblBorders>
        <w:shd w:val="clear" w:color="auto" w:fill="FFFFFF"/>
        <w:tblCellMar>
          <w:left w:w="0" w:type="dxa"/>
          <w:right w:w="0" w:type="dxa"/>
        </w:tblCellMar>
        <w:tblLook w:val="04A0"/>
      </w:tblPr>
      <w:tblGrid>
        <w:gridCol w:w="7031"/>
        <w:gridCol w:w="3013"/>
      </w:tblGrid>
      <w:tr w:rsidR="00472A60" w:rsidRPr="00C40532" w:rsidTr="000A0C98">
        <w:trPr>
          <w:trHeight w:val="218"/>
        </w:trPr>
        <w:tc>
          <w:tcPr>
            <w:tcW w:w="3500" w:type="pct"/>
            <w:tcBorders>
              <w:top w:val="outset" w:sz="2" w:space="0" w:color="auto"/>
              <w:left w:val="single" w:sz="6" w:space="0" w:color="CCCCCC"/>
              <w:bottom w:val="outset" w:sz="2" w:space="0" w:color="auto"/>
              <w:right w:val="outset" w:sz="2" w:space="0" w:color="auto"/>
            </w:tcBorders>
            <w:shd w:val="clear" w:color="auto" w:fill="EDEDED"/>
            <w:tcMar>
              <w:top w:w="178" w:type="dxa"/>
              <w:left w:w="178" w:type="dxa"/>
              <w:bottom w:w="178" w:type="dxa"/>
              <w:right w:w="178" w:type="dxa"/>
            </w:tcMar>
            <w:vAlign w:val="center"/>
            <w:hideMark/>
          </w:tcPr>
          <w:p w:rsidR="00472A60" w:rsidRPr="00C40532" w:rsidRDefault="00472A60" w:rsidP="000A0C98">
            <w:pPr>
              <w:spacing w:after="0" w:line="240" w:lineRule="auto"/>
              <w:jc w:val="both"/>
              <w:rPr>
                <w:rFonts w:ascii="Times New Roman" w:eastAsia="Times New Roman" w:hAnsi="Times New Roman" w:cs="Times New Roman"/>
                <w:b/>
                <w:bCs/>
                <w:caps/>
                <w:color w:val="F05033"/>
                <w:sz w:val="24"/>
                <w:szCs w:val="24"/>
              </w:rPr>
            </w:pPr>
            <w:r w:rsidRPr="00C40532">
              <w:rPr>
                <w:rFonts w:ascii="Times New Roman" w:eastAsia="Times New Roman" w:hAnsi="Times New Roman" w:cs="Times New Roman"/>
                <w:b/>
                <w:bCs/>
                <w:caps/>
                <w:color w:val="F05033"/>
                <w:sz w:val="24"/>
                <w:szCs w:val="24"/>
              </w:rPr>
              <w:t>INCOME</w:t>
            </w:r>
          </w:p>
        </w:tc>
        <w:tc>
          <w:tcPr>
            <w:tcW w:w="0" w:type="auto"/>
            <w:tcBorders>
              <w:top w:val="outset" w:sz="2" w:space="0" w:color="auto"/>
              <w:left w:val="single" w:sz="6" w:space="0" w:color="CCCCCC"/>
              <w:bottom w:val="outset" w:sz="2" w:space="0" w:color="auto"/>
              <w:right w:val="outset" w:sz="2" w:space="0" w:color="auto"/>
            </w:tcBorders>
            <w:shd w:val="clear" w:color="auto" w:fill="EDEDED"/>
            <w:tcMar>
              <w:top w:w="178" w:type="dxa"/>
              <w:left w:w="178" w:type="dxa"/>
              <w:bottom w:w="178" w:type="dxa"/>
              <w:right w:w="178" w:type="dxa"/>
            </w:tcMar>
            <w:vAlign w:val="center"/>
            <w:hideMark/>
          </w:tcPr>
          <w:p w:rsidR="00472A60" w:rsidRPr="00C40532" w:rsidRDefault="00472A60" w:rsidP="000A0C98">
            <w:pPr>
              <w:spacing w:after="0" w:line="240" w:lineRule="auto"/>
              <w:jc w:val="both"/>
              <w:rPr>
                <w:rFonts w:ascii="Times New Roman" w:eastAsia="Times New Roman" w:hAnsi="Times New Roman" w:cs="Times New Roman"/>
                <w:b/>
                <w:bCs/>
                <w:caps/>
                <w:color w:val="F05033"/>
                <w:sz w:val="24"/>
                <w:szCs w:val="24"/>
              </w:rPr>
            </w:pPr>
            <w:r w:rsidRPr="00C40532">
              <w:rPr>
                <w:rFonts w:ascii="Times New Roman" w:eastAsia="Times New Roman" w:hAnsi="Times New Roman" w:cs="Times New Roman"/>
                <w:b/>
                <w:bCs/>
                <w:caps/>
                <w:color w:val="F05033"/>
                <w:sz w:val="24"/>
                <w:szCs w:val="24"/>
              </w:rPr>
              <w:t>TAX RATE</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lang w:val="en-US"/>
              </w:rPr>
            </w:pPr>
            <w:r w:rsidRPr="00C40532">
              <w:rPr>
                <w:rFonts w:ascii="Times New Roman" w:eastAsia="Times New Roman" w:hAnsi="Times New Roman" w:cs="Times New Roman"/>
                <w:color w:val="303030"/>
                <w:sz w:val="24"/>
                <w:szCs w:val="24"/>
                <w:lang w:val="en-US"/>
              </w:rPr>
              <w:t>Tax rate on corporate profits for up to 300,000 SGD</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8.5%</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lang w:val="en-US"/>
              </w:rPr>
            </w:pPr>
            <w:r w:rsidRPr="00C40532">
              <w:rPr>
                <w:rFonts w:ascii="Times New Roman" w:eastAsia="Times New Roman" w:hAnsi="Times New Roman" w:cs="Times New Roman"/>
                <w:color w:val="303030"/>
                <w:sz w:val="24"/>
                <w:szCs w:val="24"/>
                <w:lang w:val="en-US"/>
              </w:rPr>
              <w:t>Tax rate on corporate profits above 300,000 SGD</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17%</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lang w:val="en-US"/>
              </w:rPr>
            </w:pPr>
            <w:r w:rsidRPr="00C40532">
              <w:rPr>
                <w:rFonts w:ascii="Times New Roman" w:eastAsia="Times New Roman" w:hAnsi="Times New Roman" w:cs="Times New Roman"/>
                <w:color w:val="303030"/>
                <w:sz w:val="24"/>
                <w:szCs w:val="24"/>
                <w:lang w:val="en-US"/>
              </w:rPr>
              <w:t>Tax rate on capital gains accrued by the company</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0%</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lang w:val="en-US"/>
              </w:rPr>
            </w:pPr>
            <w:r w:rsidRPr="00C40532">
              <w:rPr>
                <w:rFonts w:ascii="Times New Roman" w:eastAsia="Times New Roman" w:hAnsi="Times New Roman" w:cs="Times New Roman"/>
                <w:color w:val="303030"/>
                <w:sz w:val="24"/>
                <w:szCs w:val="24"/>
                <w:lang w:val="en-US"/>
              </w:rPr>
              <w:t>Tax rate on dividend distribution to shareholders</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0%</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lang w:val="en-US"/>
              </w:rPr>
            </w:pPr>
            <w:r w:rsidRPr="00C40532">
              <w:rPr>
                <w:rFonts w:ascii="Times New Roman" w:eastAsia="Times New Roman" w:hAnsi="Times New Roman" w:cs="Times New Roman"/>
                <w:color w:val="303030"/>
                <w:sz w:val="24"/>
                <w:szCs w:val="24"/>
                <w:lang w:val="en-US"/>
              </w:rPr>
              <w:t>Tax rate on foreign-sourced income not brought into Singapore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0%</w:t>
            </w:r>
          </w:p>
        </w:tc>
      </w:tr>
      <w:tr w:rsidR="00472A60" w:rsidRPr="00C40532" w:rsidTr="000A0C98">
        <w:trPr>
          <w:trHeight w:val="298"/>
        </w:trPr>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lang w:val="en-US"/>
              </w:rPr>
            </w:pPr>
            <w:r w:rsidRPr="00C40532">
              <w:rPr>
                <w:rFonts w:ascii="Times New Roman" w:eastAsia="Times New Roman" w:hAnsi="Times New Roman" w:cs="Times New Roman"/>
                <w:color w:val="303030"/>
                <w:sz w:val="24"/>
                <w:szCs w:val="24"/>
                <w:lang w:val="en-US"/>
              </w:rPr>
              <w:t>Tax rate on foreign-sourced income brought into Singapore</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0 – 17% subject to conditions</w:t>
            </w:r>
          </w:p>
        </w:tc>
      </w:tr>
    </w:tbl>
    <w:p w:rsidR="00472A60" w:rsidRPr="00C40532" w:rsidRDefault="00472A60" w:rsidP="00472A60">
      <w:pPr>
        <w:spacing w:after="0" w:line="240" w:lineRule="auto"/>
        <w:ind w:firstLine="709"/>
        <w:jc w:val="both"/>
        <w:rPr>
          <w:rStyle w:val="hps"/>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Style w:val="hps"/>
          <w:rFonts w:ascii="Times New Roman" w:hAnsi="Times New Roman" w:cs="Times New Roman"/>
          <w:sz w:val="24"/>
          <w:szCs w:val="24"/>
          <w:lang w:val="en-US"/>
        </w:rPr>
      </w:pPr>
    </w:p>
    <w:p w:rsidR="00472A60" w:rsidRPr="00C40532" w:rsidRDefault="00472A60" w:rsidP="00472A60">
      <w:pPr>
        <w:pStyle w:val="3"/>
        <w:shd w:val="clear" w:color="auto" w:fill="FFFFFF"/>
        <w:spacing w:before="0" w:line="240" w:lineRule="auto"/>
        <w:ind w:firstLine="709"/>
        <w:jc w:val="both"/>
        <w:textAlignment w:val="baseline"/>
        <w:rPr>
          <w:rFonts w:ascii="Times New Roman" w:hAnsi="Times New Roman" w:cs="Times New Roman"/>
          <w:color w:val="auto"/>
          <w:sz w:val="24"/>
          <w:szCs w:val="24"/>
          <w:lang w:val="en-US"/>
        </w:rPr>
      </w:pPr>
      <w:r w:rsidRPr="00C40532">
        <w:rPr>
          <w:rFonts w:ascii="Times New Roman" w:hAnsi="Times New Roman" w:cs="Times New Roman"/>
          <w:color w:val="auto"/>
          <w:sz w:val="24"/>
          <w:szCs w:val="24"/>
          <w:lang w:val="en-US"/>
        </w:rPr>
        <w:t>Personal Tax Rates</w:t>
      </w:r>
    </w:p>
    <w:tbl>
      <w:tblPr>
        <w:tblW w:w="5000" w:type="pct"/>
        <w:tblBorders>
          <w:top w:val="single" w:sz="6" w:space="0" w:color="CCCCCC"/>
          <w:left w:val="single" w:sz="6" w:space="0" w:color="CCCCCC"/>
          <w:bottom w:val="single" w:sz="6" w:space="0" w:color="CCCCCC"/>
          <w:right w:val="single" w:sz="6" w:space="0" w:color="CCCCCC"/>
        </w:tblBorders>
        <w:shd w:val="clear" w:color="auto" w:fill="FFFFFF"/>
        <w:tblCellMar>
          <w:left w:w="0" w:type="dxa"/>
          <w:right w:w="0" w:type="dxa"/>
        </w:tblCellMar>
        <w:tblLook w:val="04A0"/>
      </w:tblPr>
      <w:tblGrid>
        <w:gridCol w:w="7031"/>
        <w:gridCol w:w="3013"/>
      </w:tblGrid>
      <w:tr w:rsidR="00472A60" w:rsidRPr="00C40532" w:rsidTr="000A0C98">
        <w:tc>
          <w:tcPr>
            <w:tcW w:w="3500" w:type="pct"/>
            <w:tcBorders>
              <w:top w:val="outset" w:sz="2" w:space="0" w:color="auto"/>
              <w:left w:val="single" w:sz="6" w:space="0" w:color="CCCCCC"/>
              <w:bottom w:val="outset" w:sz="2" w:space="0" w:color="auto"/>
              <w:right w:val="outset" w:sz="2" w:space="0" w:color="auto"/>
            </w:tcBorders>
            <w:shd w:val="clear" w:color="auto" w:fill="EDEDED"/>
            <w:tcMar>
              <w:top w:w="178" w:type="dxa"/>
              <w:left w:w="178" w:type="dxa"/>
              <w:bottom w:w="178" w:type="dxa"/>
              <w:right w:w="178" w:type="dxa"/>
            </w:tcMar>
            <w:vAlign w:val="center"/>
            <w:hideMark/>
          </w:tcPr>
          <w:p w:rsidR="00472A60" w:rsidRPr="00C40532" w:rsidRDefault="00472A60" w:rsidP="000A0C98">
            <w:pPr>
              <w:spacing w:after="0" w:line="240" w:lineRule="auto"/>
              <w:ind w:firstLine="709"/>
              <w:jc w:val="both"/>
              <w:rPr>
                <w:rFonts w:ascii="Times New Roman" w:eastAsia="Times New Roman" w:hAnsi="Times New Roman" w:cs="Times New Roman"/>
                <w:b/>
                <w:bCs/>
                <w:caps/>
                <w:color w:val="F05033"/>
                <w:sz w:val="24"/>
                <w:szCs w:val="24"/>
              </w:rPr>
            </w:pPr>
            <w:r w:rsidRPr="00C40532">
              <w:rPr>
                <w:rFonts w:ascii="Times New Roman" w:eastAsia="Times New Roman" w:hAnsi="Times New Roman" w:cs="Times New Roman"/>
                <w:b/>
                <w:bCs/>
                <w:caps/>
                <w:color w:val="F05033"/>
                <w:sz w:val="24"/>
                <w:szCs w:val="24"/>
              </w:rPr>
              <w:t>INCOME</w:t>
            </w:r>
          </w:p>
        </w:tc>
        <w:tc>
          <w:tcPr>
            <w:tcW w:w="0" w:type="auto"/>
            <w:tcBorders>
              <w:top w:val="outset" w:sz="2" w:space="0" w:color="auto"/>
              <w:left w:val="single" w:sz="6" w:space="0" w:color="CCCCCC"/>
              <w:bottom w:val="outset" w:sz="2" w:space="0" w:color="auto"/>
              <w:right w:val="outset" w:sz="2" w:space="0" w:color="auto"/>
            </w:tcBorders>
            <w:shd w:val="clear" w:color="auto" w:fill="EDEDED"/>
            <w:tcMar>
              <w:top w:w="178" w:type="dxa"/>
              <w:left w:w="178" w:type="dxa"/>
              <w:bottom w:w="178" w:type="dxa"/>
              <w:right w:w="178" w:type="dxa"/>
            </w:tcMar>
            <w:vAlign w:val="center"/>
            <w:hideMark/>
          </w:tcPr>
          <w:p w:rsidR="00472A60" w:rsidRPr="00C40532" w:rsidRDefault="00472A60" w:rsidP="000A0C98">
            <w:pPr>
              <w:spacing w:after="0" w:line="240" w:lineRule="auto"/>
              <w:ind w:firstLine="709"/>
              <w:jc w:val="both"/>
              <w:rPr>
                <w:rFonts w:ascii="Times New Roman" w:eastAsia="Times New Roman" w:hAnsi="Times New Roman" w:cs="Times New Roman"/>
                <w:b/>
                <w:bCs/>
                <w:caps/>
                <w:color w:val="F05033"/>
                <w:sz w:val="24"/>
                <w:szCs w:val="24"/>
              </w:rPr>
            </w:pPr>
            <w:r w:rsidRPr="00C40532">
              <w:rPr>
                <w:rFonts w:ascii="Times New Roman" w:eastAsia="Times New Roman" w:hAnsi="Times New Roman" w:cs="Times New Roman"/>
                <w:b/>
                <w:bCs/>
                <w:caps/>
                <w:color w:val="F05033"/>
                <w:sz w:val="24"/>
                <w:szCs w:val="24"/>
              </w:rPr>
              <w:t>TAX RATE</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Tax rate on first 20,000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0%</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lastRenderedPageBreak/>
              <w:t>Tax rate on next 10,000</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2%</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Tax rate on next 10,000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3.5%</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Tax rate on next 40,000</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7%</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Tax rate on next 40,000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11.5%</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Tax rate on next 40,000</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15%</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Tax rate on next 40,000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17%</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Tax rate on next 120,000</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18%</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Tax rate on above 320,000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20%</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lang w:val="en-US"/>
              </w:rPr>
            </w:pPr>
            <w:r w:rsidRPr="00C40532">
              <w:rPr>
                <w:rFonts w:ascii="Times New Roman" w:eastAsia="Times New Roman" w:hAnsi="Times New Roman" w:cs="Times New Roman"/>
                <w:color w:val="303030"/>
                <w:sz w:val="24"/>
                <w:szCs w:val="24"/>
                <w:lang w:val="en-US"/>
              </w:rPr>
              <w:t>Tax rate on capital gains</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0%</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lang w:val="en-US"/>
              </w:rPr>
            </w:pPr>
            <w:r w:rsidRPr="00C40532">
              <w:rPr>
                <w:rFonts w:ascii="Times New Roman" w:eastAsia="Times New Roman" w:hAnsi="Times New Roman" w:cs="Times New Roman"/>
                <w:color w:val="303030"/>
                <w:sz w:val="24"/>
                <w:szCs w:val="24"/>
                <w:lang w:val="en-US"/>
              </w:rPr>
              <w:t>Tax rate on income earned overseas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0%</w:t>
            </w:r>
          </w:p>
        </w:tc>
      </w:tr>
      <w:tr w:rsidR="00472A60" w:rsidRPr="00C40532" w:rsidTr="000A0C98">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lang w:val="en-US"/>
              </w:rPr>
            </w:pPr>
            <w:r w:rsidRPr="00C40532">
              <w:rPr>
                <w:rFonts w:ascii="Times New Roman" w:eastAsia="Times New Roman" w:hAnsi="Times New Roman" w:cs="Times New Roman"/>
                <w:color w:val="303030"/>
                <w:sz w:val="24"/>
                <w:szCs w:val="24"/>
                <w:lang w:val="en-US"/>
              </w:rPr>
              <w:t>Tax rate on dividends received from Singapore company</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72A60" w:rsidRPr="00C40532" w:rsidRDefault="00472A60" w:rsidP="000A0C98">
            <w:pPr>
              <w:spacing w:after="0" w:line="240" w:lineRule="auto"/>
              <w:ind w:firstLine="709"/>
              <w:jc w:val="both"/>
              <w:rPr>
                <w:rFonts w:ascii="Times New Roman" w:eastAsia="Times New Roman" w:hAnsi="Times New Roman" w:cs="Times New Roman"/>
                <w:color w:val="303030"/>
                <w:sz w:val="24"/>
                <w:szCs w:val="24"/>
              </w:rPr>
            </w:pPr>
            <w:r w:rsidRPr="00C40532">
              <w:rPr>
                <w:rFonts w:ascii="Times New Roman" w:eastAsia="Times New Roman" w:hAnsi="Times New Roman" w:cs="Times New Roman"/>
                <w:color w:val="303030"/>
                <w:sz w:val="24"/>
                <w:szCs w:val="24"/>
              </w:rPr>
              <w:t>0%</w:t>
            </w:r>
          </w:p>
        </w:tc>
      </w:tr>
    </w:tbl>
    <w:p w:rsidR="00472A60" w:rsidRPr="00C40532" w:rsidRDefault="00472A60" w:rsidP="00472A60">
      <w:pPr>
        <w:spacing w:after="0" w:line="240" w:lineRule="auto"/>
        <w:ind w:firstLine="709"/>
        <w:jc w:val="both"/>
        <w:rPr>
          <w:rStyle w:val="hps"/>
          <w:rFonts w:ascii="Times New Roman" w:hAnsi="Times New Roman" w:cs="Times New Roman"/>
          <w:sz w:val="24"/>
          <w:szCs w:val="24"/>
        </w:rPr>
      </w:pPr>
    </w:p>
    <w:p w:rsidR="00472A60" w:rsidRPr="00C40532" w:rsidRDefault="00472A60" w:rsidP="00472A60">
      <w:pPr>
        <w:spacing w:after="0" w:line="240" w:lineRule="auto"/>
        <w:ind w:firstLine="709"/>
        <w:jc w:val="both"/>
        <w:rPr>
          <w:rStyle w:val="hps"/>
          <w:rFonts w:ascii="Times New Roman" w:hAnsi="Times New Roman" w:cs="Times New Roman"/>
          <w:sz w:val="24"/>
          <w:szCs w:val="24"/>
        </w:rPr>
      </w:pPr>
    </w:p>
    <w:p w:rsidR="00472A60" w:rsidRPr="00C40532" w:rsidRDefault="00472A60" w:rsidP="00472A60">
      <w:pPr>
        <w:spacing w:after="0" w:line="240" w:lineRule="auto"/>
        <w:ind w:firstLine="709"/>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6. Special economic zone in Singapore</w:t>
      </w:r>
    </w:p>
    <w:p w:rsidR="00472A60" w:rsidRPr="00C40532" w:rsidRDefault="00472A60" w:rsidP="00472A60">
      <w:pPr>
        <w:pStyle w:val="a6"/>
        <w:shd w:val="clear" w:color="auto" w:fill="FFFFFF"/>
        <w:spacing w:before="0" w:beforeAutospacing="0" w:after="0" w:afterAutospacing="0"/>
        <w:ind w:firstLine="709"/>
        <w:jc w:val="both"/>
        <w:rPr>
          <w:color w:val="000000"/>
          <w:lang w:val="en-US"/>
        </w:rPr>
      </w:pPr>
    </w:p>
    <w:p w:rsidR="00472A60" w:rsidRPr="00C40532" w:rsidRDefault="00472A60" w:rsidP="00472A60">
      <w:pPr>
        <w:pStyle w:val="a6"/>
        <w:shd w:val="clear" w:color="auto" w:fill="FFFFFF"/>
        <w:spacing w:before="0" w:beforeAutospacing="0" w:after="0" w:afterAutospacing="0"/>
        <w:ind w:firstLine="709"/>
        <w:jc w:val="both"/>
        <w:rPr>
          <w:color w:val="000000"/>
          <w:lang w:val="en-US"/>
        </w:rPr>
      </w:pPr>
      <w:r w:rsidRPr="00C40532">
        <w:rPr>
          <w:color w:val="000000"/>
          <w:lang w:val="en-US"/>
        </w:rPr>
        <w:t xml:space="preserve">SINGAPORE — Special Economic Zones (SEZs) can help drive growth in Asia at a time when the region is experiencing a China-led slowdown, the Asian Development Bank (ADB) said in a </w:t>
      </w:r>
      <w:r w:rsidRPr="00C40532">
        <w:rPr>
          <w:color w:val="000000"/>
          <w:lang w:val="en-US"/>
        </w:rPr>
        <w:softHyphen/>
        <w:t>report released today (Dec 8).</w:t>
      </w:r>
    </w:p>
    <w:p w:rsidR="00472A60" w:rsidRPr="00C40532" w:rsidRDefault="00472A60" w:rsidP="00472A60">
      <w:pPr>
        <w:pStyle w:val="a6"/>
        <w:shd w:val="clear" w:color="auto" w:fill="FFFFFF"/>
        <w:spacing w:before="0" w:beforeAutospacing="0" w:after="0" w:afterAutospacing="0"/>
        <w:ind w:firstLine="709"/>
        <w:jc w:val="both"/>
        <w:rPr>
          <w:color w:val="000000"/>
          <w:lang w:val="en-US"/>
        </w:rPr>
      </w:pPr>
      <w:r w:rsidRPr="00C40532">
        <w:rPr>
          <w:color w:val="000000"/>
          <w:lang w:val="en-US"/>
        </w:rPr>
        <w:t xml:space="preserve">The annual Asian Economic </w:t>
      </w:r>
      <w:r w:rsidRPr="00C40532">
        <w:rPr>
          <w:color w:val="000000"/>
          <w:lang w:val="en-US"/>
        </w:rPr>
        <w:softHyphen/>
        <w:t>Integration Report found that the</w:t>
      </w:r>
      <w:r w:rsidRPr="00C40532">
        <w:rPr>
          <w:color w:val="000000"/>
          <w:lang w:val="en-US"/>
        </w:rPr>
        <w:softHyphen/>
        <w:t xml:space="preserve"> number of SEZs in an economy is positively </w:t>
      </w:r>
      <w:r w:rsidRPr="00C40532">
        <w:rPr>
          <w:color w:val="000000"/>
          <w:lang w:val="en-US"/>
        </w:rPr>
        <w:softHyphen/>
        <w:t xml:space="preserve">related to overall </w:t>
      </w:r>
      <w:r w:rsidRPr="00C40532">
        <w:rPr>
          <w:color w:val="000000"/>
          <w:lang w:val="en-US"/>
        </w:rPr>
        <w:softHyphen/>
        <w:t xml:space="preserve">export performance. In developing Asia, countries with SEZs attract significantly more foreign direct </w:t>
      </w:r>
      <w:r w:rsidRPr="00C40532">
        <w:rPr>
          <w:color w:val="000000"/>
          <w:lang w:val="en-US"/>
        </w:rPr>
        <w:softHyphen/>
        <w:t xml:space="preserve">investments (FDIs), with the existence of these zones </w:t>
      </w:r>
      <w:r w:rsidRPr="00C40532">
        <w:rPr>
          <w:color w:val="000000"/>
          <w:lang w:val="en-US"/>
        </w:rPr>
        <w:softHyphen/>
        <w:t>corresponding to 82 per cent greater FDI levels, it said.</w:t>
      </w:r>
    </w:p>
    <w:p w:rsidR="00472A60" w:rsidRPr="00C40532" w:rsidRDefault="00472A60" w:rsidP="00472A60">
      <w:pPr>
        <w:pStyle w:val="a6"/>
        <w:shd w:val="clear" w:color="auto" w:fill="FFFFFF"/>
        <w:spacing w:before="0" w:beforeAutospacing="0" w:after="0" w:afterAutospacing="0"/>
        <w:ind w:firstLine="709"/>
        <w:jc w:val="both"/>
        <w:rPr>
          <w:color w:val="000000"/>
          <w:lang w:val="en-US"/>
        </w:rPr>
      </w:pPr>
      <w:r w:rsidRPr="00C40532">
        <w:rPr>
          <w:color w:val="000000"/>
          <w:lang w:val="en-US"/>
        </w:rPr>
        <w:t xml:space="preserve">“If designed right, SEZs can </w:t>
      </w:r>
      <w:r w:rsidRPr="00C40532">
        <w:rPr>
          <w:color w:val="000000"/>
          <w:lang w:val="en-US"/>
        </w:rPr>
        <w:softHyphen/>
        <w:t xml:space="preserve">become drivers for increased trade, FDI and better economic policymaking and reforms,” said ADB chief economist Shang-Jin Wei. “Moreover, as countries develop, areas with SEZs can be transformed from mere manufacturing sites to hubs for innovation and modern </w:t>
      </w:r>
      <w:r w:rsidRPr="00C40532">
        <w:rPr>
          <w:color w:val="000000"/>
          <w:lang w:val="en-US"/>
        </w:rPr>
        <w:softHyphen/>
        <w:t>services.”</w:t>
      </w:r>
    </w:p>
    <w:p w:rsidR="00472A60" w:rsidRPr="00C40532" w:rsidRDefault="00472A60" w:rsidP="00472A60">
      <w:pPr>
        <w:pStyle w:val="a6"/>
        <w:shd w:val="clear" w:color="auto" w:fill="FFFFFF"/>
        <w:spacing w:before="0" w:beforeAutospacing="0" w:after="0" w:afterAutospacing="0"/>
        <w:ind w:firstLine="709"/>
        <w:jc w:val="both"/>
        <w:rPr>
          <w:color w:val="000000"/>
          <w:lang w:val="en-US"/>
        </w:rPr>
      </w:pPr>
      <w:r w:rsidRPr="00C40532">
        <w:rPr>
          <w:color w:val="000000"/>
          <w:lang w:val="en-US"/>
        </w:rPr>
        <w:t xml:space="preserve">The number of SEZs globally grew to more than 4,300 this year from about 500 in 1995, noted Mr Wei. While the performance of these zones varied across economies, the ADB study found that successful ones have common features that include strong state support and consistent policies, strategic locations, the availability of cheap factory sites and an abundant </w:t>
      </w:r>
      <w:r w:rsidRPr="00C40532">
        <w:rPr>
          <w:color w:val="000000"/>
          <w:lang w:val="en-US"/>
        </w:rPr>
        <w:softHyphen/>
        <w:t>labour supply.</w:t>
      </w:r>
    </w:p>
    <w:p w:rsidR="00472A60" w:rsidRPr="00C40532" w:rsidRDefault="00472A60" w:rsidP="00472A60">
      <w:pPr>
        <w:pStyle w:val="a6"/>
        <w:shd w:val="clear" w:color="auto" w:fill="FFFFFF"/>
        <w:spacing w:before="0" w:beforeAutospacing="0" w:after="0" w:afterAutospacing="0"/>
        <w:ind w:firstLine="709"/>
        <w:jc w:val="both"/>
        <w:rPr>
          <w:color w:val="000000"/>
          <w:lang w:val="en-US"/>
        </w:rPr>
      </w:pPr>
    </w:p>
    <w:p w:rsidR="00472A60" w:rsidRPr="00DF3344" w:rsidRDefault="00472A60"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0A0C98" w:rsidRPr="00DF3344" w:rsidRDefault="000A0C98" w:rsidP="00472A60">
      <w:pPr>
        <w:spacing w:after="0" w:line="240" w:lineRule="auto"/>
        <w:ind w:firstLine="709"/>
        <w:jc w:val="both"/>
        <w:rPr>
          <w:rFonts w:ascii="Times New Roman" w:hAnsi="Times New Roman" w:cs="Times New Roman"/>
          <w:sz w:val="24"/>
          <w:szCs w:val="24"/>
          <w:lang w:val="en-US"/>
        </w:rPr>
      </w:pPr>
    </w:p>
    <w:p w:rsidR="00472A60" w:rsidRPr="000A0C98" w:rsidRDefault="00472A60" w:rsidP="00472A60">
      <w:pPr>
        <w:shd w:val="clear" w:color="auto" w:fill="FFFFFF"/>
        <w:spacing w:after="0" w:line="240" w:lineRule="auto"/>
        <w:ind w:firstLine="567"/>
        <w:jc w:val="both"/>
        <w:rPr>
          <w:rStyle w:val="hps"/>
          <w:rFonts w:ascii="Times New Roman" w:hAnsi="Times New Roman" w:cs="Times New Roman"/>
          <w:b/>
          <w:sz w:val="24"/>
          <w:szCs w:val="24"/>
          <w:lang w:val="en-US"/>
        </w:rPr>
      </w:pPr>
      <w:proofErr w:type="gramStart"/>
      <w:r w:rsidRPr="000A0C98">
        <w:rPr>
          <w:rStyle w:val="hps"/>
          <w:rFonts w:ascii="Times New Roman" w:hAnsi="Times New Roman" w:cs="Times New Roman"/>
          <w:b/>
          <w:sz w:val="24"/>
          <w:szCs w:val="24"/>
          <w:lang w:val="en-US"/>
        </w:rPr>
        <w:t>Theme</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12.</w:t>
      </w:r>
      <w:proofErr w:type="gramEnd"/>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The financial</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system</w:t>
      </w:r>
      <w:r w:rsidRPr="000A0C98">
        <w:rPr>
          <w:rFonts w:ascii="Times New Roman" w:hAnsi="Times New Roman" w:cs="Times New Roman"/>
          <w:b/>
          <w:sz w:val="24"/>
          <w:szCs w:val="24"/>
          <w:lang w:val="en-US"/>
        </w:rPr>
        <w:t xml:space="preserve"> </w:t>
      </w:r>
      <w:r w:rsidRPr="000A0C98">
        <w:rPr>
          <w:rStyle w:val="hps"/>
          <w:rFonts w:ascii="Times New Roman" w:hAnsi="Times New Roman" w:cs="Times New Roman"/>
          <w:b/>
          <w:sz w:val="24"/>
          <w:szCs w:val="24"/>
          <w:lang w:val="en-US"/>
        </w:rPr>
        <w:t>of the Russian Federation</w:t>
      </w:r>
    </w:p>
    <w:p w:rsidR="00472A60" w:rsidRPr="00C40532" w:rsidRDefault="00472A60" w:rsidP="00472A60">
      <w:pPr>
        <w:shd w:val="clear" w:color="auto" w:fill="FFFFFF"/>
        <w:spacing w:after="0" w:line="240" w:lineRule="auto"/>
        <w:ind w:left="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br/>
      </w:r>
      <w:proofErr w:type="gramStart"/>
      <w:r w:rsidRPr="00C40532">
        <w:rPr>
          <w:rStyle w:val="hps"/>
          <w:rFonts w:ascii="Times New Roman" w:hAnsi="Times New Roman" w:cs="Times New Roman"/>
          <w:sz w:val="24"/>
          <w:szCs w:val="24"/>
          <w:lang w:val="en-US"/>
        </w:rPr>
        <w:t>Lecture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23</w:t>
      </w:r>
      <w:r w:rsidRPr="00C40532">
        <w:rPr>
          <w:rFonts w:ascii="Times New Roman" w:hAnsi="Times New Roman" w:cs="Times New Roman"/>
          <w:sz w:val="24"/>
          <w:szCs w:val="24"/>
          <w:lang w:val="en-US"/>
        </w:rPr>
        <w:t>.</w:t>
      </w:r>
      <w:proofErr w:type="gramEnd"/>
    </w:p>
    <w:p w:rsidR="00472A60" w:rsidRPr="00C40532" w:rsidRDefault="00472A60" w:rsidP="00472A60">
      <w:pPr>
        <w:shd w:val="clear" w:color="auto" w:fill="FFFFFF"/>
        <w:spacing w:after="0" w:line="240" w:lineRule="auto"/>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1.</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units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Russian financial</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system.</w:t>
      </w: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2.</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structure of the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state budget revenues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expenditures</w:t>
      </w:r>
      <w:r w:rsidRPr="00C40532">
        <w:rPr>
          <w:rFonts w:ascii="Times New Roman" w:hAnsi="Times New Roman" w:cs="Times New Roman"/>
          <w:sz w:val="24"/>
          <w:szCs w:val="24"/>
          <w:lang w:val="en-US"/>
        </w:rPr>
        <w:t>.</w:t>
      </w: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3.</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Extra-budgetary funds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 their role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the financial system</w:t>
      </w:r>
      <w:r w:rsidRPr="00C40532">
        <w:rPr>
          <w:rFonts w:ascii="Times New Roman" w:hAnsi="Times New Roman" w:cs="Times New Roman"/>
          <w:sz w:val="24"/>
          <w:szCs w:val="24"/>
          <w:lang w:val="en-US"/>
        </w:rPr>
        <w:t xml:space="preserve">. </w:t>
      </w:r>
      <w:proofErr w:type="gramStart"/>
      <w:r w:rsidRPr="00C40532">
        <w:rPr>
          <w:rStyle w:val="hps"/>
          <w:rFonts w:ascii="Times New Roman" w:hAnsi="Times New Roman" w:cs="Times New Roman"/>
          <w:sz w:val="24"/>
          <w:szCs w:val="24"/>
          <w:lang w:val="en-US"/>
        </w:rPr>
        <w:t>Public credit</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 public debt</w:t>
      </w:r>
      <w:r w:rsidRPr="00C40532">
        <w:rPr>
          <w:rFonts w:ascii="Times New Roman" w:hAnsi="Times New Roman" w:cs="Times New Roman"/>
          <w:sz w:val="24"/>
          <w:szCs w:val="24"/>
          <w:lang w:val="en-US"/>
        </w:rPr>
        <w:t>.</w:t>
      </w:r>
      <w:proofErr w:type="gramEnd"/>
      <w:r w:rsidRPr="00C40532">
        <w:rPr>
          <w:rStyle w:val="hps"/>
          <w:rFonts w:ascii="Times New Roman" w:hAnsi="Times New Roman" w:cs="Times New Roman"/>
          <w:sz w:val="24"/>
          <w:szCs w:val="24"/>
          <w:lang w:val="en-US"/>
        </w:rPr>
        <w:t xml:space="preserve"> </w:t>
      </w:r>
    </w:p>
    <w:p w:rsidR="00472A60" w:rsidRPr="00C40532" w:rsidRDefault="00472A60" w:rsidP="00472A60">
      <w:pPr>
        <w:shd w:val="clear" w:color="auto" w:fill="FFFFFF"/>
        <w:spacing w:after="0" w:line="240" w:lineRule="auto"/>
        <w:ind w:firstLine="708"/>
        <w:jc w:val="both"/>
        <w:rPr>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Lecture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24</w:t>
      </w:r>
      <w:r w:rsidRPr="00C40532">
        <w:rPr>
          <w:rFonts w:ascii="Times New Roman" w:hAnsi="Times New Roman" w:cs="Times New Roman"/>
          <w:sz w:val="24"/>
          <w:szCs w:val="24"/>
          <w:lang w:val="en-US"/>
        </w:rPr>
        <w:t>.</w:t>
      </w:r>
      <w:proofErr w:type="gramEnd"/>
    </w:p>
    <w:p w:rsidR="00472A60" w:rsidRPr="00C40532" w:rsidRDefault="00472A60" w:rsidP="00472A60">
      <w:pPr>
        <w:shd w:val="clear" w:color="auto" w:fill="FFFFFF"/>
        <w:spacing w:after="0" w:line="240" w:lineRule="auto"/>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1. The organization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local finances</w:t>
      </w:r>
      <w:r w:rsidRPr="00C40532">
        <w:rPr>
          <w:rFonts w:ascii="Times New Roman" w:hAnsi="Times New Roman" w:cs="Times New Roman"/>
          <w:sz w:val="24"/>
          <w:szCs w:val="24"/>
          <w:lang w:val="en-US"/>
        </w:rPr>
        <w:t xml:space="preserve">. </w:t>
      </w:r>
      <w:proofErr w:type="gramStart"/>
      <w:r w:rsidRPr="00C40532">
        <w:rPr>
          <w:rStyle w:val="hps"/>
          <w:rFonts w:ascii="Times New Roman" w:hAnsi="Times New Roman" w:cs="Times New Roman"/>
          <w:sz w:val="24"/>
          <w:szCs w:val="24"/>
          <w:lang w:val="en-US"/>
        </w:rPr>
        <w:t>The value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local budgets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the social</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infrastructure of the region</w:t>
      </w:r>
      <w:r w:rsidRPr="00C40532">
        <w:rPr>
          <w:rFonts w:ascii="Times New Roman" w:hAnsi="Times New Roman" w:cs="Times New Roman"/>
          <w:sz w:val="24"/>
          <w:szCs w:val="24"/>
          <w:lang w:val="en-US"/>
        </w:rPr>
        <w:t>.</w:t>
      </w:r>
      <w:proofErr w:type="gramEnd"/>
    </w:p>
    <w:p w:rsidR="00472A60" w:rsidRPr="00C40532" w:rsidRDefault="00472A60" w:rsidP="00472A60">
      <w:pPr>
        <w:shd w:val="clear" w:color="auto" w:fill="FFFFFF"/>
        <w:spacing w:after="0" w:line="240" w:lineRule="auto"/>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Specifics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tax collection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the Russian Federation</w:t>
      </w:r>
      <w:r w:rsidRPr="00C40532">
        <w:rPr>
          <w:rFonts w:ascii="Times New Roman" w:hAnsi="Times New Roman" w:cs="Times New Roman"/>
          <w:sz w:val="24"/>
          <w:szCs w:val="24"/>
          <w:lang w:val="en-US"/>
        </w:rPr>
        <w:t xml:space="preserve">. </w:t>
      </w:r>
      <w:proofErr w:type="gramStart"/>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tax system</w:t>
      </w:r>
      <w:r w:rsidRPr="00C40532">
        <w:rPr>
          <w:rFonts w:ascii="Times New Roman" w:hAnsi="Times New Roman" w:cs="Times New Roman"/>
          <w:sz w:val="24"/>
          <w:szCs w:val="24"/>
          <w:lang w:val="en-US"/>
        </w:rPr>
        <w:t>.</w:t>
      </w:r>
      <w:proofErr w:type="gramEnd"/>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3.</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main directions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tax and budget</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policy</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Russian Federation</w:t>
      </w:r>
      <w:r w:rsidRPr="00C40532">
        <w:rPr>
          <w:rFonts w:ascii="Times New Roman" w:hAnsi="Times New Roman" w:cs="Times New Roman"/>
          <w:sz w:val="24"/>
          <w:szCs w:val="24"/>
          <w:lang w:val="en-US"/>
        </w:rPr>
        <w:t>.</w:t>
      </w: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2.</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structure of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state budget revenues and</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expenditures</w:t>
      </w:r>
      <w:r w:rsidRPr="00C40532">
        <w:rPr>
          <w:rFonts w:ascii="Times New Roman" w:hAnsi="Times New Roman" w:cs="Times New Roman"/>
          <w:b/>
          <w:sz w:val="24"/>
          <w:szCs w:val="24"/>
          <w:lang w:val="en-US"/>
        </w:rPr>
        <w:t>.</w:t>
      </w:r>
      <w:r w:rsidRPr="00C40532">
        <w:rPr>
          <w:rFonts w:ascii="Times New Roman" w:hAnsi="Times New Roman" w:cs="Times New Roman"/>
          <w:b/>
          <w:sz w:val="24"/>
          <w:szCs w:val="24"/>
          <w:lang w:val="en-US"/>
        </w:rPr>
        <w:br/>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The</w:t>
      </w:r>
      <w:r w:rsidRPr="00C40532">
        <w:rPr>
          <w:rStyle w:val="apple-converted-space"/>
          <w:color w:val="222222"/>
          <w:lang w:val="en-US"/>
        </w:rPr>
        <w:t> </w:t>
      </w:r>
      <w:r w:rsidRPr="00C40532">
        <w:rPr>
          <w:b/>
          <w:bCs/>
          <w:color w:val="222222"/>
          <w:lang w:val="en-US"/>
        </w:rPr>
        <w:t>Federal budget of Russia</w:t>
      </w:r>
      <w:r w:rsidRPr="00C40532">
        <w:rPr>
          <w:rStyle w:val="apple-converted-space"/>
          <w:color w:val="222222"/>
          <w:lang w:val="en-US"/>
        </w:rPr>
        <w:t> </w:t>
      </w:r>
      <w:r w:rsidRPr="00C40532">
        <w:rPr>
          <w:color w:val="222222"/>
          <w:lang w:val="en-US"/>
        </w:rPr>
        <w:t>(</w:t>
      </w:r>
      <w:hyperlink r:id="rId53" w:tooltip="Russian language" w:history="1">
        <w:r w:rsidRPr="00C40532">
          <w:rPr>
            <w:rStyle w:val="a5"/>
            <w:color w:val="0B0080"/>
            <w:lang w:val="en-US"/>
          </w:rPr>
          <w:t>Russian</w:t>
        </w:r>
      </w:hyperlink>
      <w:r w:rsidRPr="00C40532">
        <w:rPr>
          <w:color w:val="222222"/>
          <w:lang w:val="en-US"/>
        </w:rPr>
        <w:t>:</w:t>
      </w:r>
      <w:r w:rsidRPr="00C40532">
        <w:rPr>
          <w:rStyle w:val="apple-converted-space"/>
          <w:color w:val="222222"/>
          <w:lang w:val="en-US"/>
        </w:rPr>
        <w:t> </w:t>
      </w:r>
      <w:r w:rsidRPr="00C40532">
        <w:rPr>
          <w:color w:val="222222"/>
        </w:rPr>
        <w:t>Федеральный</w:t>
      </w:r>
      <w:r w:rsidRPr="00C40532">
        <w:rPr>
          <w:color w:val="222222"/>
          <w:lang w:val="en-US"/>
        </w:rPr>
        <w:t xml:space="preserve"> </w:t>
      </w:r>
      <w:r w:rsidRPr="00C40532">
        <w:rPr>
          <w:color w:val="222222"/>
        </w:rPr>
        <w:t>бюджет</w:t>
      </w:r>
      <w:r w:rsidRPr="00C40532">
        <w:rPr>
          <w:color w:val="222222"/>
          <w:lang w:val="en-US"/>
        </w:rPr>
        <w:t xml:space="preserve"> </w:t>
      </w:r>
      <w:r w:rsidRPr="00C40532">
        <w:rPr>
          <w:color w:val="222222"/>
        </w:rPr>
        <w:t>России</w:t>
      </w:r>
      <w:r w:rsidRPr="00C40532">
        <w:rPr>
          <w:color w:val="222222"/>
          <w:lang w:val="en-US"/>
        </w:rPr>
        <w:t>) is the leading element of the</w:t>
      </w:r>
      <w:r w:rsidRPr="00C40532">
        <w:rPr>
          <w:rStyle w:val="apple-converted-space"/>
          <w:color w:val="222222"/>
          <w:lang w:val="en-US"/>
        </w:rPr>
        <w:t> </w:t>
      </w:r>
      <w:hyperlink r:id="rId54" w:tooltip="Budget system of Russia (page does not exist)" w:history="1">
        <w:r w:rsidRPr="00C40532">
          <w:rPr>
            <w:rStyle w:val="a5"/>
            <w:color w:val="A55858"/>
            <w:lang w:val="en-US"/>
          </w:rPr>
          <w:t>Budget system of Russia</w:t>
        </w:r>
      </w:hyperlink>
      <w:r w:rsidRPr="00C40532">
        <w:rPr>
          <w:color w:val="222222"/>
          <w:lang w:val="en-US"/>
        </w:rPr>
        <w:t>. The federal budget is a major state financial plan for the fiscal year, which has the force of law after its approval by the</w:t>
      </w:r>
      <w:r w:rsidRPr="00C40532">
        <w:rPr>
          <w:rStyle w:val="apple-converted-space"/>
          <w:color w:val="222222"/>
          <w:lang w:val="en-US"/>
        </w:rPr>
        <w:t> </w:t>
      </w:r>
      <w:hyperlink r:id="rId55" w:tooltip="Federal Assembly of Russia" w:history="1">
        <w:r w:rsidRPr="00C40532">
          <w:rPr>
            <w:rStyle w:val="a5"/>
            <w:color w:val="0B0080"/>
            <w:lang w:val="en-US"/>
          </w:rPr>
          <w:t>Russian parliament</w:t>
        </w:r>
      </w:hyperlink>
      <w:r w:rsidRPr="00C40532">
        <w:rPr>
          <w:rStyle w:val="apple-converted-space"/>
          <w:color w:val="222222"/>
          <w:lang w:val="en-US"/>
        </w:rPr>
        <w:t> </w:t>
      </w:r>
      <w:r w:rsidRPr="00C40532">
        <w:rPr>
          <w:color w:val="222222"/>
          <w:lang w:val="en-US"/>
        </w:rPr>
        <w:t>and</w:t>
      </w:r>
      <w:r w:rsidRPr="00C40532">
        <w:rPr>
          <w:rStyle w:val="apple-converted-space"/>
          <w:color w:val="222222"/>
          <w:lang w:val="en-US"/>
        </w:rPr>
        <w:t> </w:t>
      </w:r>
      <w:hyperlink r:id="rId56" w:anchor="Approval" w:tooltip="Sign into law" w:history="1">
        <w:r w:rsidRPr="00C40532">
          <w:rPr>
            <w:rStyle w:val="a5"/>
            <w:color w:val="0B0080"/>
            <w:lang w:val="en-US"/>
          </w:rPr>
          <w:t>signed into law</w:t>
        </w:r>
      </w:hyperlink>
      <w:r w:rsidRPr="00C40532">
        <w:rPr>
          <w:rStyle w:val="apple-converted-space"/>
          <w:color w:val="222222"/>
          <w:lang w:val="en-US"/>
        </w:rPr>
        <w:t> </w:t>
      </w:r>
      <w:r w:rsidRPr="00C40532">
        <w:rPr>
          <w:color w:val="222222"/>
          <w:lang w:val="en-US"/>
        </w:rPr>
        <w:t>by the</w:t>
      </w:r>
      <w:r w:rsidRPr="00C40532">
        <w:rPr>
          <w:rStyle w:val="apple-converted-space"/>
          <w:color w:val="222222"/>
          <w:lang w:val="en-US"/>
        </w:rPr>
        <w:t> </w:t>
      </w:r>
      <w:hyperlink r:id="rId57" w:tooltip="President of Russia" w:history="1">
        <w:r w:rsidRPr="00C40532">
          <w:rPr>
            <w:rStyle w:val="a5"/>
            <w:color w:val="0B0080"/>
            <w:lang w:val="en-US"/>
          </w:rPr>
          <w:t>President of Russia</w:t>
        </w:r>
      </w:hyperlink>
      <w:r w:rsidRPr="00C40532">
        <w:rPr>
          <w:color w:val="222222"/>
          <w:lang w:val="en-US"/>
        </w:rPr>
        <w:t xml:space="preserve">. That the federal budget is the primary means of redistribution of national income and gross domestic product through it mobilized the financial resources necessary to regulate the country's economic development, social policy and the strengthening of the national defense. The share of federal budget accounts for a significant portion of the distribution process, which is the allocation of funds between sectors of the economy, manufacturing and industrial areas, </w:t>
      </w:r>
      <w:proofErr w:type="gramStart"/>
      <w:r w:rsidRPr="00C40532">
        <w:rPr>
          <w:color w:val="222222"/>
          <w:lang w:val="en-US"/>
        </w:rPr>
        <w:t>regions</w:t>
      </w:r>
      <w:proofErr w:type="gramEnd"/>
      <w:r w:rsidRPr="00C40532">
        <w:rPr>
          <w:color w:val="222222"/>
          <w:lang w:val="en-US"/>
        </w:rPr>
        <w:t xml:space="preserve"> of the country.</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The right of the Russian Federation for an independent federal budget is enshrined by Article 71 of the</w:t>
      </w:r>
      <w:r w:rsidRPr="00C40532">
        <w:rPr>
          <w:rStyle w:val="apple-converted-space"/>
          <w:color w:val="222222"/>
          <w:lang w:val="en-US"/>
        </w:rPr>
        <w:t> </w:t>
      </w:r>
      <w:r w:rsidR="00AA3725">
        <w:fldChar w:fldCharType="begin"/>
      </w:r>
      <w:r w:rsidR="00AA3725" w:rsidRPr="003E0431">
        <w:rPr>
          <w:lang w:val="en-US"/>
        </w:rPr>
        <w:instrText>HYPERLINK "https://en.wikipedia.org/wiki/Constitution_of_Russia" \o "Constitution of Russia"</w:instrText>
      </w:r>
      <w:r w:rsidR="00AA3725">
        <w:fldChar w:fldCharType="separate"/>
      </w:r>
      <w:r w:rsidRPr="00C40532">
        <w:rPr>
          <w:rStyle w:val="a5"/>
          <w:color w:val="0B0080"/>
          <w:lang w:val="en-US"/>
        </w:rPr>
        <w:t>Russian Constitution</w:t>
      </w:r>
      <w:r w:rsidR="00AA3725">
        <w:fldChar w:fldCharType="end"/>
      </w:r>
      <w:r w:rsidRPr="00C40532">
        <w:rPr>
          <w:rStyle w:val="apple-converted-space"/>
          <w:color w:val="222222"/>
          <w:lang w:val="en-US"/>
        </w:rPr>
        <w:t> </w:t>
      </w:r>
      <w:r w:rsidRPr="00C40532">
        <w:rPr>
          <w:color w:val="222222"/>
          <w:lang w:val="en-US"/>
        </w:rPr>
        <w:t>and the</w:t>
      </w:r>
      <w:r w:rsidRPr="00C40532">
        <w:rPr>
          <w:rStyle w:val="apple-converted-space"/>
          <w:color w:val="222222"/>
          <w:lang w:val="en-US"/>
        </w:rPr>
        <w:t> </w:t>
      </w:r>
      <w:r w:rsidR="00AA3725">
        <w:fldChar w:fldCharType="begin"/>
      </w:r>
      <w:r w:rsidR="00AA3725" w:rsidRPr="003E0431">
        <w:rPr>
          <w:lang w:val="en-US"/>
        </w:rPr>
        <w:instrText>HYPERLINK "https://en.wikipedia.org/w/index.php?title=Budget_Code_of_Russia&amp;action=edit&amp;redlink=1" \o "Budget Code of Russia (page does not exist)"</w:instrText>
      </w:r>
      <w:r w:rsidR="00AA3725">
        <w:fldChar w:fldCharType="separate"/>
      </w:r>
      <w:r w:rsidRPr="00C40532">
        <w:rPr>
          <w:rStyle w:val="a5"/>
          <w:color w:val="A55858"/>
          <w:lang w:val="en-US"/>
        </w:rPr>
        <w:t>Budget Code of Russia</w:t>
      </w:r>
      <w:r w:rsidR="00AA3725">
        <w:fldChar w:fldCharType="end"/>
      </w:r>
      <w:r w:rsidRPr="00C40532">
        <w:rPr>
          <w:rStyle w:val="apple-converted-space"/>
          <w:color w:val="222222"/>
          <w:lang w:val="en-US"/>
        </w:rPr>
        <w:t> </w:t>
      </w:r>
      <w:r w:rsidRPr="00C40532">
        <w:rPr>
          <w:color w:val="222222"/>
          <w:lang w:val="en-US"/>
        </w:rPr>
        <w:t>that regulates the details of its formation and execution.</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 xml:space="preserve">In 2016, the Russian budget deficit reaches to $21Bln. It was expected to rise to the amount of $21.7 billion in the year. 2016 budget's revenues estimated to be 13.7 trillion </w:t>
      </w:r>
      <w:proofErr w:type="gramStart"/>
      <w:r w:rsidRPr="00C40532">
        <w:rPr>
          <w:color w:val="222222"/>
          <w:lang w:val="en-US"/>
        </w:rPr>
        <w:t>rubles(</w:t>
      </w:r>
      <w:proofErr w:type="gramEnd"/>
      <w:r w:rsidRPr="00C40532">
        <w:rPr>
          <w:color w:val="222222"/>
          <w:lang w:val="en-US"/>
        </w:rPr>
        <w:t>200 billion US dollars) or 17.5% of GDP, while spending is planned to be 16 trillion rubles(roughly 233 billion dollars)</w:t>
      </w:r>
      <w:hyperlink r:id="rId58" w:anchor="cite_note-1" w:history="1">
        <w:r w:rsidRPr="00C40532">
          <w:rPr>
            <w:rStyle w:val="a5"/>
            <w:color w:val="0B0080"/>
            <w:vertAlign w:val="superscript"/>
            <w:lang w:val="en-US"/>
          </w:rPr>
          <w:t>[1]</w:t>
        </w:r>
      </w:hyperlink>
      <w:r w:rsidRPr="00C40532">
        <w:rPr>
          <w:rStyle w:val="apple-converted-space"/>
          <w:color w:val="222222"/>
          <w:lang w:val="en-US"/>
        </w:rPr>
        <w:t> </w:t>
      </w:r>
      <w:r w:rsidRPr="00C40532">
        <w:rPr>
          <w:color w:val="222222"/>
          <w:lang w:val="en-US"/>
        </w:rPr>
        <w:t xml:space="preserve">or 20.5% of GDP. Budget deficit thus is 2.35 trillion </w:t>
      </w:r>
      <w:proofErr w:type="gramStart"/>
      <w:r w:rsidRPr="00C40532">
        <w:rPr>
          <w:color w:val="222222"/>
          <w:lang w:val="en-US"/>
        </w:rPr>
        <w:t>rubles(</w:t>
      </w:r>
      <w:proofErr w:type="gramEnd"/>
      <w:r w:rsidRPr="00C40532">
        <w:rPr>
          <w:color w:val="222222"/>
          <w:lang w:val="en-US"/>
        </w:rPr>
        <w:t>33 billion dollars) or 3% of GDP.</w:t>
      </w:r>
    </w:p>
    <w:p w:rsidR="00472A60" w:rsidRPr="00C40532" w:rsidRDefault="00472A60" w:rsidP="00472A60">
      <w:pPr>
        <w:pBdr>
          <w:bottom w:val="single" w:sz="6" w:space="0" w:color="A2A9B1"/>
        </w:pBdr>
        <w:shd w:val="clear" w:color="auto" w:fill="FFFFFF"/>
        <w:spacing w:after="0" w:line="240" w:lineRule="auto"/>
        <w:jc w:val="both"/>
        <w:outlineLvl w:val="1"/>
        <w:rPr>
          <w:rFonts w:ascii="Times New Roman" w:hAnsi="Times New Roman" w:cs="Times New Roman"/>
          <w:color w:val="000000"/>
          <w:sz w:val="24"/>
          <w:szCs w:val="24"/>
          <w:lang w:val="en-US"/>
        </w:rPr>
      </w:pPr>
      <w:r w:rsidRPr="00C40532">
        <w:rPr>
          <w:rFonts w:ascii="Times New Roman" w:hAnsi="Times New Roman" w:cs="Times New Roman"/>
          <w:color w:val="000000"/>
          <w:sz w:val="24"/>
          <w:szCs w:val="24"/>
          <w:lang w:val="en-US"/>
        </w:rPr>
        <w:t xml:space="preserve">Budget </w:t>
      </w:r>
      <w:proofErr w:type="gramStart"/>
      <w:r w:rsidRPr="00C40532">
        <w:rPr>
          <w:rFonts w:ascii="Times New Roman" w:hAnsi="Times New Roman" w:cs="Times New Roman"/>
          <w:color w:val="000000"/>
          <w:sz w:val="24"/>
          <w:szCs w:val="24"/>
          <w:lang w:val="en-US"/>
        </w:rPr>
        <w:t>Process</w:t>
      </w:r>
      <w:r w:rsidRPr="00C40532">
        <w:rPr>
          <w:rFonts w:ascii="Times New Roman" w:hAnsi="Times New Roman" w:cs="Times New Roman"/>
          <w:color w:val="555555"/>
          <w:sz w:val="24"/>
          <w:szCs w:val="24"/>
          <w:lang w:val="en-US"/>
        </w:rPr>
        <w:t>[</w:t>
      </w:r>
      <w:proofErr w:type="gramEnd"/>
      <w:r w:rsidR="00AA3725">
        <w:fldChar w:fldCharType="begin"/>
      </w:r>
      <w:r w:rsidR="00004B32" w:rsidRPr="008B4EEF">
        <w:rPr>
          <w:lang w:val="en-US"/>
        </w:rPr>
        <w:instrText>HYPERLINK "https://en.wikipedia.org/w/index.php?title=Federal_budget_of_Russia&amp;action=edit&amp;section=1" \o "Edit section: Budget Process"</w:instrText>
      </w:r>
      <w:r w:rsidR="00AA3725">
        <w:fldChar w:fldCharType="separate"/>
      </w:r>
      <w:r w:rsidRPr="00C40532">
        <w:rPr>
          <w:rFonts w:ascii="Times New Roman" w:hAnsi="Times New Roman" w:cs="Times New Roman"/>
          <w:color w:val="0B0080"/>
          <w:sz w:val="24"/>
          <w:szCs w:val="24"/>
          <w:lang w:val="en-US"/>
        </w:rPr>
        <w:t>edit</w:t>
      </w:r>
      <w:r w:rsidR="00AA3725">
        <w:fldChar w:fldCharType="end"/>
      </w:r>
      <w:r w:rsidRPr="00C40532">
        <w:rPr>
          <w:rFonts w:ascii="Times New Roman" w:hAnsi="Times New Roman" w:cs="Times New Roman"/>
          <w:color w:val="555555"/>
          <w:sz w:val="24"/>
          <w:szCs w:val="24"/>
          <w:lang w:val="en-US"/>
        </w:rPr>
        <w:t>]</w:t>
      </w:r>
    </w:p>
    <w:p w:rsidR="00472A60" w:rsidRPr="00C40532" w:rsidRDefault="00472A60" w:rsidP="00472A60">
      <w:pPr>
        <w:shd w:val="clear" w:color="auto" w:fill="FFFFFF"/>
        <w:spacing w:after="0" w:line="240" w:lineRule="auto"/>
        <w:jc w:val="both"/>
        <w:rPr>
          <w:rFonts w:ascii="Times New Roman" w:hAnsi="Times New Roman" w:cs="Times New Roman"/>
          <w:color w:val="222222"/>
          <w:sz w:val="24"/>
          <w:szCs w:val="24"/>
          <w:lang w:val="en-US"/>
        </w:rPr>
      </w:pPr>
      <w:r w:rsidRPr="00C40532">
        <w:rPr>
          <w:rFonts w:ascii="Times New Roman" w:hAnsi="Times New Roman" w:cs="Times New Roman"/>
          <w:color w:val="222222"/>
          <w:sz w:val="24"/>
          <w:szCs w:val="24"/>
          <w:lang w:val="en-US"/>
        </w:rPr>
        <w:t>In accordance with the Budget Code, the </w:t>
      </w:r>
      <w:r w:rsidR="00AA3725">
        <w:fldChar w:fldCharType="begin"/>
      </w:r>
      <w:r w:rsidR="00AA3725" w:rsidRPr="003E0431">
        <w:rPr>
          <w:lang w:val="en-US"/>
        </w:rPr>
        <w:instrText>HYPERLINK "https://en.wikipedia.org/wiki/Russian_government" \o "Russian government"</w:instrText>
      </w:r>
      <w:r w:rsidR="00AA3725">
        <w:fldChar w:fldCharType="separate"/>
      </w:r>
      <w:r w:rsidRPr="00C40532">
        <w:rPr>
          <w:rFonts w:ascii="Times New Roman" w:hAnsi="Times New Roman" w:cs="Times New Roman"/>
          <w:color w:val="0B0080"/>
          <w:sz w:val="24"/>
          <w:szCs w:val="24"/>
          <w:lang w:val="en-US"/>
        </w:rPr>
        <w:t>Russian government</w:t>
      </w:r>
      <w:r w:rsidR="00AA3725">
        <w:fldChar w:fldCharType="end"/>
      </w:r>
      <w:r w:rsidRPr="00C40532">
        <w:rPr>
          <w:rFonts w:ascii="Times New Roman" w:hAnsi="Times New Roman" w:cs="Times New Roman"/>
          <w:color w:val="222222"/>
          <w:sz w:val="24"/>
          <w:szCs w:val="24"/>
          <w:lang w:val="en-US"/>
        </w:rPr>
        <w:t> prepare and introduce the </w:t>
      </w:r>
      <w:r w:rsidR="00AA3725">
        <w:fldChar w:fldCharType="begin"/>
      </w:r>
      <w:r w:rsidR="00AA3725" w:rsidRPr="003E0431">
        <w:rPr>
          <w:lang w:val="en-US"/>
        </w:rPr>
        <w:instrText>HYPERLINK "https://en.wikipedia.org/wiki/State_Duma" \o "State Duma"</w:instrText>
      </w:r>
      <w:r w:rsidR="00AA3725">
        <w:fldChar w:fldCharType="separate"/>
      </w:r>
      <w:r w:rsidRPr="00C40532">
        <w:rPr>
          <w:rFonts w:ascii="Times New Roman" w:hAnsi="Times New Roman" w:cs="Times New Roman"/>
          <w:color w:val="0B0080"/>
          <w:sz w:val="24"/>
          <w:szCs w:val="24"/>
          <w:lang w:val="en-US"/>
        </w:rPr>
        <w:t>State Duma</w:t>
      </w:r>
      <w:r w:rsidR="00AA3725">
        <w:fldChar w:fldCharType="end"/>
      </w:r>
      <w:r w:rsidRPr="00C40532">
        <w:rPr>
          <w:rFonts w:ascii="Times New Roman" w:hAnsi="Times New Roman" w:cs="Times New Roman"/>
          <w:color w:val="222222"/>
          <w:sz w:val="24"/>
          <w:szCs w:val="24"/>
          <w:lang w:val="en-US"/>
        </w:rPr>
        <w:t>, the </w:t>
      </w:r>
      <w:r w:rsidR="00AA3725">
        <w:fldChar w:fldCharType="begin"/>
      </w:r>
      <w:r w:rsidR="00AA3725" w:rsidRPr="003E0431">
        <w:rPr>
          <w:lang w:val="en-US"/>
        </w:rPr>
        <w:instrText>HYPERLINK "https://en.wikipedia.org/wiki/Lower_house" \o "Lower house"</w:instrText>
      </w:r>
      <w:r w:rsidR="00AA3725">
        <w:fldChar w:fldCharType="separate"/>
      </w:r>
      <w:r w:rsidRPr="00C40532">
        <w:rPr>
          <w:rFonts w:ascii="Times New Roman" w:hAnsi="Times New Roman" w:cs="Times New Roman"/>
          <w:color w:val="0B0080"/>
          <w:sz w:val="24"/>
          <w:szCs w:val="24"/>
          <w:lang w:val="en-US"/>
        </w:rPr>
        <w:t>lower house</w:t>
      </w:r>
      <w:r w:rsidR="00AA3725">
        <w:fldChar w:fldCharType="end"/>
      </w:r>
      <w:r w:rsidRPr="00C40532">
        <w:rPr>
          <w:rFonts w:ascii="Times New Roman" w:hAnsi="Times New Roman" w:cs="Times New Roman"/>
          <w:color w:val="222222"/>
          <w:sz w:val="24"/>
          <w:szCs w:val="24"/>
          <w:lang w:val="en-US"/>
        </w:rPr>
        <w:t> of the </w:t>
      </w:r>
      <w:r w:rsidR="00AA3725">
        <w:fldChar w:fldCharType="begin"/>
      </w:r>
      <w:r w:rsidR="00AA3725" w:rsidRPr="003E0431">
        <w:rPr>
          <w:lang w:val="en-US"/>
        </w:rPr>
        <w:instrText>HYPERLINK "https://en.wikipedia.org/wiki/Federal_Assembly_of_Russia" \o "Federal Assembly of Russia"</w:instrText>
      </w:r>
      <w:r w:rsidR="00AA3725">
        <w:fldChar w:fldCharType="separate"/>
      </w:r>
      <w:r w:rsidRPr="00C40532">
        <w:rPr>
          <w:rFonts w:ascii="Times New Roman" w:hAnsi="Times New Roman" w:cs="Times New Roman"/>
          <w:color w:val="0B0080"/>
          <w:sz w:val="24"/>
          <w:szCs w:val="24"/>
          <w:lang w:val="en-US"/>
        </w:rPr>
        <w:t>Russian parliament</w:t>
      </w:r>
      <w:r w:rsidR="00AA3725">
        <w:fldChar w:fldCharType="end"/>
      </w:r>
      <w:r w:rsidRPr="00C40532">
        <w:rPr>
          <w:rFonts w:ascii="Times New Roman" w:hAnsi="Times New Roman" w:cs="Times New Roman"/>
          <w:color w:val="222222"/>
          <w:sz w:val="24"/>
          <w:szCs w:val="24"/>
          <w:lang w:val="en-US"/>
        </w:rPr>
        <w:t> a draft federal budget for next </w:t>
      </w:r>
      <w:r w:rsidR="00AA3725">
        <w:fldChar w:fldCharType="begin"/>
      </w:r>
      <w:r w:rsidR="00AA3725" w:rsidRPr="003E0431">
        <w:rPr>
          <w:lang w:val="en-US"/>
        </w:rPr>
        <w:instrText>HYPERLINK "https://en.wikipedia.org/wiki/Fiscal_year" \o "Fiscal year"</w:instrText>
      </w:r>
      <w:r w:rsidR="00AA3725">
        <w:fldChar w:fldCharType="separate"/>
      </w:r>
      <w:r w:rsidRPr="00C40532">
        <w:rPr>
          <w:rFonts w:ascii="Times New Roman" w:hAnsi="Times New Roman" w:cs="Times New Roman"/>
          <w:color w:val="0B0080"/>
          <w:sz w:val="24"/>
          <w:szCs w:val="24"/>
          <w:lang w:val="en-US"/>
        </w:rPr>
        <w:t>fiscal year</w:t>
      </w:r>
      <w:r w:rsidR="00AA3725">
        <w:fldChar w:fldCharType="end"/>
      </w:r>
      <w:r w:rsidRPr="00C40532">
        <w:rPr>
          <w:rFonts w:ascii="Times New Roman" w:hAnsi="Times New Roman" w:cs="Times New Roman"/>
          <w:color w:val="222222"/>
          <w:sz w:val="24"/>
          <w:szCs w:val="24"/>
          <w:lang w:val="en-US"/>
        </w:rPr>
        <w:t> no later than October 1 of this year. The federal budget is developed in accordance with the provisions of the annual budget message of the President of the Russian Federation.</w:t>
      </w:r>
    </w:p>
    <w:p w:rsidR="00472A60" w:rsidRPr="00C40532" w:rsidRDefault="00472A60" w:rsidP="00472A60">
      <w:pPr>
        <w:shd w:val="clear" w:color="auto" w:fill="FFFFFF"/>
        <w:spacing w:after="0" w:line="240" w:lineRule="auto"/>
        <w:jc w:val="both"/>
        <w:rPr>
          <w:rFonts w:ascii="Times New Roman" w:hAnsi="Times New Roman" w:cs="Times New Roman"/>
          <w:color w:val="222222"/>
          <w:sz w:val="24"/>
          <w:szCs w:val="24"/>
          <w:lang w:val="en-US"/>
        </w:rPr>
      </w:pPr>
      <w:r w:rsidRPr="00C40532">
        <w:rPr>
          <w:rFonts w:ascii="Times New Roman" w:hAnsi="Times New Roman" w:cs="Times New Roman"/>
          <w:color w:val="222222"/>
          <w:sz w:val="24"/>
          <w:szCs w:val="24"/>
          <w:lang w:val="en-US"/>
        </w:rPr>
        <w:t xml:space="preserve">The federal budget is considered the State Duma in three readings (amendments to the Code). At first reading, the basic parameters of the budget are adopted. According to the Budget Code, during the first reading of the State Duma has the right to increase revenues and the federal budget deficit, if these changes are not the endorsement of the government. The State Duma can reject the draft budget. In this case, </w:t>
      </w:r>
      <w:proofErr w:type="gramStart"/>
      <w:r w:rsidRPr="00C40532">
        <w:rPr>
          <w:rFonts w:ascii="Times New Roman" w:hAnsi="Times New Roman" w:cs="Times New Roman"/>
          <w:color w:val="222222"/>
          <w:sz w:val="24"/>
          <w:szCs w:val="24"/>
          <w:lang w:val="en-US"/>
        </w:rPr>
        <w:t>a </w:t>
      </w:r>
      <w:hyperlink r:id="rId59" w:tooltip="Conciliation commission (page does not exist)" w:history="1">
        <w:r w:rsidRPr="00C40532">
          <w:rPr>
            <w:rFonts w:ascii="Times New Roman" w:hAnsi="Times New Roman" w:cs="Times New Roman"/>
            <w:color w:val="A55858"/>
            <w:sz w:val="24"/>
            <w:szCs w:val="24"/>
            <w:lang w:val="en-US"/>
          </w:rPr>
          <w:t>conciliation</w:t>
        </w:r>
        <w:proofErr w:type="gramEnd"/>
        <w:r w:rsidRPr="00C40532">
          <w:rPr>
            <w:rFonts w:ascii="Times New Roman" w:hAnsi="Times New Roman" w:cs="Times New Roman"/>
            <w:color w:val="A55858"/>
            <w:sz w:val="24"/>
            <w:szCs w:val="24"/>
            <w:lang w:val="en-US"/>
          </w:rPr>
          <w:t xml:space="preserve"> commission</w:t>
        </w:r>
      </w:hyperlink>
      <w:r w:rsidRPr="00C40532">
        <w:rPr>
          <w:rFonts w:ascii="Times New Roman" w:hAnsi="Times New Roman" w:cs="Times New Roman"/>
          <w:color w:val="222222"/>
          <w:sz w:val="24"/>
          <w:szCs w:val="24"/>
          <w:lang w:val="en-US"/>
        </w:rPr>
        <w:t> in conjunction with the government. In the second reading of the State Duma approves the budget section by section, and the third is on the budget law as a whole. Following the adoption of the State Duma the federal budget, the law goes to the </w:t>
      </w:r>
      <w:r w:rsidR="00AA3725">
        <w:fldChar w:fldCharType="begin"/>
      </w:r>
      <w:r w:rsidR="00AA3725" w:rsidRPr="003E0431">
        <w:rPr>
          <w:lang w:val="en-US"/>
        </w:rPr>
        <w:instrText>HYPERLINK "https://en.wikipedia.org/wiki/Federation_Council_of_Russia" \o "Federation Council of Russia"</w:instrText>
      </w:r>
      <w:r w:rsidR="00AA3725">
        <w:fldChar w:fldCharType="separate"/>
      </w:r>
      <w:r w:rsidRPr="00C40532">
        <w:rPr>
          <w:rFonts w:ascii="Times New Roman" w:hAnsi="Times New Roman" w:cs="Times New Roman"/>
          <w:color w:val="0B0080"/>
          <w:sz w:val="24"/>
          <w:szCs w:val="24"/>
          <w:lang w:val="en-US"/>
        </w:rPr>
        <w:t>Federation Council</w:t>
      </w:r>
      <w:r w:rsidR="00AA3725">
        <w:fldChar w:fldCharType="end"/>
      </w:r>
      <w:r w:rsidRPr="00C40532">
        <w:rPr>
          <w:rFonts w:ascii="Times New Roman" w:hAnsi="Times New Roman" w:cs="Times New Roman"/>
          <w:color w:val="222222"/>
          <w:sz w:val="24"/>
          <w:szCs w:val="24"/>
          <w:lang w:val="en-US"/>
        </w:rPr>
        <w:t>, the </w:t>
      </w:r>
      <w:r w:rsidR="00AA3725">
        <w:fldChar w:fldCharType="begin"/>
      </w:r>
      <w:r w:rsidR="00AA3725" w:rsidRPr="003E0431">
        <w:rPr>
          <w:lang w:val="en-US"/>
        </w:rPr>
        <w:instrText>HYPERLINK "https://en.wikipedia.org/wiki/Upper_house" \o "Upper house"</w:instrText>
      </w:r>
      <w:r w:rsidR="00AA3725">
        <w:fldChar w:fldCharType="separate"/>
      </w:r>
      <w:r w:rsidRPr="00C40532">
        <w:rPr>
          <w:rFonts w:ascii="Times New Roman" w:hAnsi="Times New Roman" w:cs="Times New Roman"/>
          <w:color w:val="0B0080"/>
          <w:sz w:val="24"/>
          <w:szCs w:val="24"/>
          <w:lang w:val="en-US"/>
        </w:rPr>
        <w:t>upper house</w:t>
      </w:r>
      <w:r w:rsidR="00AA3725">
        <w:fldChar w:fldCharType="end"/>
      </w:r>
      <w:r w:rsidRPr="00C40532">
        <w:rPr>
          <w:rFonts w:ascii="Times New Roman" w:hAnsi="Times New Roman" w:cs="Times New Roman"/>
          <w:color w:val="222222"/>
          <w:sz w:val="24"/>
          <w:szCs w:val="24"/>
          <w:lang w:val="en-US"/>
        </w:rPr>
        <w:t> of the parliament, and then signed into law by the President.</w:t>
      </w:r>
    </w:p>
    <w:p w:rsidR="00472A60" w:rsidRPr="00C40532" w:rsidRDefault="00472A60" w:rsidP="00472A60">
      <w:pPr>
        <w:pStyle w:val="2"/>
        <w:pBdr>
          <w:bottom w:val="single" w:sz="6" w:space="0" w:color="A2A9B1"/>
        </w:pBdr>
        <w:shd w:val="clear" w:color="auto" w:fill="FFFFFF"/>
        <w:spacing w:before="0" w:beforeAutospacing="0" w:after="0" w:afterAutospacing="0"/>
        <w:jc w:val="both"/>
        <w:rPr>
          <w:b w:val="0"/>
          <w:bCs w:val="0"/>
          <w:color w:val="000000"/>
          <w:sz w:val="24"/>
          <w:szCs w:val="24"/>
          <w:lang w:val="en-US"/>
        </w:rPr>
      </w:pPr>
      <w:proofErr w:type="gramStart"/>
      <w:r w:rsidRPr="00C40532">
        <w:rPr>
          <w:rStyle w:val="mw-headline"/>
          <w:b w:val="0"/>
          <w:bCs w:val="0"/>
          <w:color w:val="000000"/>
          <w:sz w:val="24"/>
          <w:szCs w:val="24"/>
          <w:lang w:val="en-US"/>
        </w:rPr>
        <w:t>Structure</w:t>
      </w:r>
      <w:r w:rsidRPr="00C40532">
        <w:rPr>
          <w:rStyle w:val="mw-editsection-bracket"/>
          <w:b w:val="0"/>
          <w:bCs w:val="0"/>
          <w:color w:val="555555"/>
          <w:sz w:val="24"/>
          <w:szCs w:val="24"/>
          <w:lang w:val="en-US"/>
        </w:rPr>
        <w:t>[</w:t>
      </w:r>
      <w:proofErr w:type="gramEnd"/>
      <w:r w:rsidR="00AA3725">
        <w:fldChar w:fldCharType="begin"/>
      </w:r>
      <w:r w:rsidR="00004B32" w:rsidRPr="008B4EEF">
        <w:rPr>
          <w:lang w:val="en-US"/>
        </w:rPr>
        <w:instrText>HYPERLINK "https://en.wikipedia.org/w/index.php?title=Federal_budget_of_Russia&amp;action=edit&amp;section=2" \o "Edit section: Structure"</w:instrText>
      </w:r>
      <w:r w:rsidR="00AA3725">
        <w:fldChar w:fldCharType="separate"/>
      </w:r>
      <w:r w:rsidRPr="00C40532">
        <w:rPr>
          <w:rStyle w:val="a5"/>
          <w:b w:val="0"/>
          <w:bCs w:val="0"/>
          <w:color w:val="0B0080"/>
          <w:sz w:val="24"/>
          <w:szCs w:val="24"/>
          <w:lang w:val="en-US"/>
        </w:rPr>
        <w:t>edit</w:t>
      </w:r>
      <w:r w:rsidR="00AA3725">
        <w:fldChar w:fldCharType="end"/>
      </w:r>
      <w:r w:rsidRPr="00C40532">
        <w:rPr>
          <w:rStyle w:val="mw-editsection-bracket"/>
          <w:b w:val="0"/>
          <w:bCs w:val="0"/>
          <w:color w:val="555555"/>
          <w:sz w:val="24"/>
          <w:szCs w:val="24"/>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Difficulties in implementing fiscal reforms aimed at raising government revenues and a dependence on short-term borrowing to finance budget deficits led to a</w:t>
      </w:r>
      <w:r w:rsidRPr="00C40532">
        <w:rPr>
          <w:rStyle w:val="apple-converted-space"/>
          <w:color w:val="222222"/>
          <w:lang w:val="en-US"/>
        </w:rPr>
        <w:t> </w:t>
      </w:r>
      <w:r w:rsidR="00AA3725">
        <w:fldChar w:fldCharType="begin"/>
      </w:r>
      <w:r w:rsidR="00AA3725" w:rsidRPr="003E0431">
        <w:rPr>
          <w:lang w:val="en-US"/>
        </w:rPr>
        <w:instrText>HYPERLINK "https://en.wikipedia.org/wiki/1998_Russian_financial_crisis" \o "1998 Russian financial crisis"</w:instrText>
      </w:r>
      <w:r w:rsidR="00AA3725">
        <w:fldChar w:fldCharType="separate"/>
      </w:r>
      <w:r w:rsidRPr="00C40532">
        <w:rPr>
          <w:rStyle w:val="a5"/>
          <w:color w:val="0B0080"/>
          <w:lang w:val="en-US"/>
        </w:rPr>
        <w:t>serious financial crisis in 1998</w:t>
      </w:r>
      <w:r w:rsidR="00AA3725">
        <w:fldChar w:fldCharType="end"/>
      </w:r>
      <w:r w:rsidRPr="00C40532">
        <w:rPr>
          <w:color w:val="222222"/>
          <w:lang w:val="en-US"/>
        </w:rPr>
        <w:t xml:space="preserve">. The </w:t>
      </w:r>
      <w:r w:rsidRPr="00C40532">
        <w:rPr>
          <w:color w:val="222222"/>
          <w:lang w:val="en-US"/>
        </w:rPr>
        <w:lastRenderedPageBreak/>
        <w:t>Russian economy bounced back quickly from the 1998 crisis and enjoyed over 9 years of sustained growth averaging about 7% due to a devalued ruble, implementation of key economic reforms (</w:t>
      </w:r>
      <w:r w:rsidR="00AA3725">
        <w:fldChar w:fldCharType="begin"/>
      </w:r>
      <w:r w:rsidR="00AA3725" w:rsidRPr="003E0431">
        <w:rPr>
          <w:lang w:val="en-US"/>
        </w:rPr>
        <w:instrText>HYPERLINK "https://en.wikipedia.org/wiki/Tax_Code_of_Russia" \o "Tax Code of Russia"</w:instrText>
      </w:r>
      <w:r w:rsidR="00AA3725">
        <w:fldChar w:fldCharType="separate"/>
      </w:r>
      <w:r w:rsidRPr="00C40532">
        <w:rPr>
          <w:rStyle w:val="a5"/>
          <w:color w:val="0B0080"/>
          <w:lang w:val="en-US"/>
        </w:rPr>
        <w:t>taxation</w:t>
      </w:r>
      <w:r w:rsidR="00AA3725">
        <w:fldChar w:fldCharType="end"/>
      </w:r>
      <w:r w:rsidRPr="00C40532">
        <w:rPr>
          <w:color w:val="222222"/>
          <w:lang w:val="en-US"/>
        </w:rPr>
        <w:t>,</w:t>
      </w:r>
      <w:r w:rsidRPr="00C40532">
        <w:rPr>
          <w:rStyle w:val="apple-converted-space"/>
          <w:color w:val="222222"/>
          <w:lang w:val="en-US"/>
        </w:rPr>
        <w:t> </w:t>
      </w:r>
      <w:r w:rsidR="00AA3725">
        <w:fldChar w:fldCharType="begin"/>
      </w:r>
      <w:r w:rsidR="00AA3725" w:rsidRPr="003E0431">
        <w:rPr>
          <w:lang w:val="en-US"/>
        </w:rPr>
        <w:instrText>HYPERLINK "https://en.wikipedia.org/wiki/Banking_in_Russia" \o "Banking in Russia"</w:instrText>
      </w:r>
      <w:r w:rsidR="00AA3725">
        <w:fldChar w:fldCharType="separate"/>
      </w:r>
      <w:r w:rsidRPr="00C40532">
        <w:rPr>
          <w:rStyle w:val="a5"/>
          <w:color w:val="0B0080"/>
          <w:lang w:val="en-US"/>
        </w:rPr>
        <w:t>banking</w:t>
      </w:r>
      <w:r w:rsidR="00AA3725">
        <w:fldChar w:fldCharType="end"/>
      </w:r>
      <w:r w:rsidRPr="00C40532">
        <w:rPr>
          <w:color w:val="222222"/>
          <w:lang w:val="en-US"/>
        </w:rPr>
        <w:t>, labor and</w:t>
      </w:r>
      <w:r w:rsidRPr="00C40532">
        <w:rPr>
          <w:rStyle w:val="apple-converted-space"/>
          <w:color w:val="222222"/>
          <w:lang w:val="en-US"/>
        </w:rPr>
        <w:t> </w:t>
      </w:r>
      <w:r w:rsidR="00AA3725">
        <w:fldChar w:fldCharType="begin"/>
      </w:r>
      <w:r w:rsidR="00AA3725" w:rsidRPr="003E0431">
        <w:rPr>
          <w:lang w:val="en-US"/>
        </w:rPr>
        <w:instrText>HYPERLINK "https://en.wikipedia.org/w/index.php?title=Land_Code_of_Russia&amp;action=edit&amp;redlink=1" \o "Land Code of Russia (page does not exist)"</w:instrText>
      </w:r>
      <w:r w:rsidR="00AA3725">
        <w:fldChar w:fldCharType="separate"/>
      </w:r>
      <w:r w:rsidRPr="00C40532">
        <w:rPr>
          <w:rStyle w:val="a5"/>
          <w:color w:val="A55858"/>
          <w:lang w:val="en-US"/>
        </w:rPr>
        <w:t>land</w:t>
      </w:r>
      <w:r w:rsidR="00AA3725">
        <w:fldChar w:fldCharType="end"/>
      </w:r>
      <w:r w:rsidRPr="00C40532">
        <w:rPr>
          <w:rStyle w:val="apple-converted-space"/>
          <w:color w:val="222222"/>
          <w:lang w:val="en-US"/>
        </w:rPr>
        <w:t> </w:t>
      </w:r>
      <w:r w:rsidRPr="00C40532">
        <w:rPr>
          <w:color w:val="222222"/>
          <w:lang w:val="en-US"/>
        </w:rPr>
        <w:t>codes), tight fiscal policy, and favorable commodities prices. Russia ran a budget surplus from 2001 to 2008 when</w:t>
      </w:r>
      <w:r w:rsidRPr="00C40532">
        <w:rPr>
          <w:rStyle w:val="apple-converted-space"/>
          <w:color w:val="222222"/>
          <w:lang w:val="en-US"/>
        </w:rPr>
        <w:t> </w:t>
      </w:r>
      <w:r w:rsidR="00AA3725">
        <w:fldChar w:fldCharType="begin"/>
      </w:r>
      <w:r w:rsidR="00AA3725" w:rsidRPr="003E0431">
        <w:rPr>
          <w:lang w:val="en-US"/>
        </w:rPr>
        <w:instrText>HYPERLINK "https://en.wikipedia.org/wiki/2008_Russian_financial_crisis" \o "2008 Russian financial crisis"</w:instrText>
      </w:r>
      <w:r w:rsidR="00AA3725">
        <w:fldChar w:fldCharType="separate"/>
      </w:r>
      <w:r w:rsidRPr="00C40532">
        <w:rPr>
          <w:rStyle w:val="a5"/>
          <w:color w:val="0B0080"/>
          <w:lang w:val="en-US"/>
        </w:rPr>
        <w:t>a financial crisis occurred</w:t>
      </w:r>
      <w:r w:rsidR="00AA3725">
        <w:fldChar w:fldCharType="end"/>
      </w:r>
      <w:r w:rsidRPr="00C40532">
        <w:rPr>
          <w:color w:val="222222"/>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Although the government revised its budget projections during 2009 to reflect lower oil prices and the effects of the economic crisis, it ended the year with a budget deficit amounting to 7.9% of GDP, which it financed from the Reserve Fund, one of the government’s two stabilization funds. The government’s anti-crisis package in 2008 and 2009 amounted to about 6.7% of GDP, according to</w:t>
      </w:r>
      <w:r w:rsidRPr="00C40532">
        <w:rPr>
          <w:rStyle w:val="apple-converted-space"/>
          <w:color w:val="222222"/>
          <w:lang w:val="en-US"/>
        </w:rPr>
        <w:t> </w:t>
      </w:r>
      <w:r w:rsidR="00AA3725">
        <w:fldChar w:fldCharType="begin"/>
      </w:r>
      <w:r w:rsidR="00AA3725" w:rsidRPr="003E0431">
        <w:rPr>
          <w:lang w:val="en-US"/>
        </w:rPr>
        <w:instrText>HYPERLINK "https://en.wikipedia.org/wiki/World_Bank" \o "World Bank"</w:instrText>
      </w:r>
      <w:r w:rsidR="00AA3725">
        <w:fldChar w:fldCharType="separate"/>
      </w:r>
      <w:r w:rsidRPr="00C40532">
        <w:rPr>
          <w:rStyle w:val="a5"/>
          <w:color w:val="0B0080"/>
          <w:lang w:val="en-US"/>
        </w:rPr>
        <w:t>World Bank</w:t>
      </w:r>
      <w:r w:rsidR="00AA3725">
        <w:fldChar w:fldCharType="end"/>
      </w:r>
      <w:r w:rsidRPr="00C40532">
        <w:rPr>
          <w:rStyle w:val="apple-converted-space"/>
          <w:color w:val="222222"/>
          <w:lang w:val="en-US"/>
        </w:rPr>
        <w:t> </w:t>
      </w:r>
      <w:r w:rsidRPr="00C40532">
        <w:rPr>
          <w:color w:val="222222"/>
          <w:lang w:val="en-US"/>
        </w:rPr>
        <w:t>estimates. The package provided support to the</w:t>
      </w:r>
      <w:r w:rsidRPr="00C40532">
        <w:rPr>
          <w:rStyle w:val="apple-converted-space"/>
          <w:color w:val="222222"/>
          <w:lang w:val="en-US"/>
        </w:rPr>
        <w:t> </w:t>
      </w:r>
      <w:r w:rsidR="00AA3725">
        <w:fldChar w:fldCharType="begin"/>
      </w:r>
      <w:r w:rsidR="00AA3725" w:rsidRPr="003E0431">
        <w:rPr>
          <w:lang w:val="en-US"/>
        </w:rPr>
        <w:instrText>HYPERLINK "https://en.wikipedia.org/wiki/Financial_sector" \o "Financial sector"</w:instrText>
      </w:r>
      <w:r w:rsidR="00AA3725">
        <w:fldChar w:fldCharType="separate"/>
      </w:r>
      <w:r w:rsidRPr="00C40532">
        <w:rPr>
          <w:rStyle w:val="a5"/>
          <w:color w:val="0B0080"/>
          <w:lang w:val="en-US"/>
        </w:rPr>
        <w:t>financial sector</w:t>
      </w:r>
      <w:r w:rsidR="00AA3725">
        <w:fldChar w:fldCharType="end"/>
      </w:r>
      <w:r w:rsidRPr="00C40532">
        <w:rPr>
          <w:rStyle w:val="apple-converted-space"/>
          <w:color w:val="222222"/>
          <w:lang w:val="en-US"/>
        </w:rPr>
        <w:t> </w:t>
      </w:r>
      <w:r w:rsidRPr="00C40532">
        <w:rPr>
          <w:color w:val="222222"/>
          <w:lang w:val="en-US"/>
        </w:rPr>
        <w:t>and enterprises through liquidity injections to banks and tax cuts/fiscal support to enterprises as well as modest support for</w:t>
      </w:r>
      <w:r w:rsidRPr="00C40532">
        <w:rPr>
          <w:rStyle w:val="apple-converted-space"/>
          <w:color w:val="222222"/>
          <w:lang w:val="en-US"/>
        </w:rPr>
        <w:t> </w:t>
      </w:r>
      <w:r w:rsidR="00AA3725">
        <w:fldChar w:fldCharType="begin"/>
      </w:r>
      <w:r w:rsidR="00AA3725" w:rsidRPr="003E0431">
        <w:rPr>
          <w:lang w:val="en-US"/>
        </w:rPr>
        <w:instrText>HYPERLINK "https://en.wikipedia.org/wiki/Household" \o "Household"</w:instrText>
      </w:r>
      <w:r w:rsidR="00AA3725">
        <w:fldChar w:fldCharType="separate"/>
      </w:r>
      <w:r w:rsidRPr="00C40532">
        <w:rPr>
          <w:rStyle w:val="a5"/>
          <w:color w:val="0B0080"/>
          <w:lang w:val="en-US"/>
        </w:rPr>
        <w:t>households</w:t>
      </w:r>
      <w:r w:rsidR="00AA3725">
        <w:fldChar w:fldCharType="end"/>
      </w:r>
      <w:r w:rsidRPr="00C40532">
        <w:rPr>
          <w:rStyle w:val="apple-converted-space"/>
          <w:color w:val="222222"/>
          <w:lang w:val="en-US"/>
        </w:rPr>
        <w:t> </w:t>
      </w:r>
      <w:r w:rsidRPr="00C40532">
        <w:rPr>
          <w:color w:val="222222"/>
          <w:lang w:val="en-US"/>
        </w:rPr>
        <w:t>and</w:t>
      </w:r>
      <w:r w:rsidRPr="00C40532">
        <w:rPr>
          <w:rStyle w:val="apple-converted-space"/>
          <w:color w:val="222222"/>
          <w:lang w:val="en-US"/>
        </w:rPr>
        <w:t> </w:t>
      </w:r>
      <w:r w:rsidR="00AA3725">
        <w:fldChar w:fldCharType="begin"/>
      </w:r>
      <w:r w:rsidR="00AA3725" w:rsidRPr="003E0431">
        <w:rPr>
          <w:lang w:val="en-US"/>
        </w:rPr>
        <w:instrText>HYPERLINK "https://en.wikipedia.org/wiki/Small_and_medium_enterprises" \o "Small and medium enterprises"</w:instrText>
      </w:r>
      <w:r w:rsidR="00AA3725">
        <w:fldChar w:fldCharType="separate"/>
      </w:r>
      <w:r w:rsidRPr="00C40532">
        <w:rPr>
          <w:rStyle w:val="a5"/>
          <w:color w:val="0B0080"/>
          <w:lang w:val="en-US"/>
        </w:rPr>
        <w:t>small and medium enterprises</w:t>
      </w:r>
      <w:r w:rsidR="00AA3725">
        <w:fldChar w:fldCharType="end"/>
      </w:r>
      <w:r w:rsidRPr="00C40532">
        <w:rPr>
          <w:rStyle w:val="apple-converted-space"/>
          <w:color w:val="222222"/>
          <w:lang w:val="en-US"/>
        </w:rPr>
        <w:t> </w:t>
      </w:r>
      <w:r w:rsidRPr="00C40532">
        <w:rPr>
          <w:color w:val="222222"/>
          <w:lang w:val="en-US"/>
        </w:rPr>
        <w:t>and increased</w:t>
      </w:r>
      <w:r w:rsidRPr="00C40532">
        <w:rPr>
          <w:rStyle w:val="apple-converted-space"/>
          <w:color w:val="222222"/>
          <w:lang w:val="en-US"/>
        </w:rPr>
        <w:t> </w:t>
      </w:r>
      <w:r w:rsidR="00AA3725">
        <w:fldChar w:fldCharType="begin"/>
      </w:r>
      <w:r w:rsidR="00AA3725" w:rsidRPr="003E0431">
        <w:rPr>
          <w:lang w:val="en-US"/>
        </w:rPr>
        <w:instrText>HYPERLINK "https://en.wikipedia.org/wiki/Unemployment_benefits" \o "Unemployment benefits"</w:instrText>
      </w:r>
      <w:r w:rsidR="00AA3725">
        <w:fldChar w:fldCharType="separate"/>
      </w:r>
      <w:r w:rsidRPr="00C40532">
        <w:rPr>
          <w:rStyle w:val="a5"/>
          <w:color w:val="0B0080"/>
          <w:lang w:val="en-US"/>
        </w:rPr>
        <w:t>unemployment benefits</w:t>
      </w:r>
      <w:r w:rsidR="00AA3725">
        <w:fldChar w:fldCharType="end"/>
      </w:r>
      <w:r w:rsidRPr="00C40532">
        <w:rPr>
          <w:color w:val="222222"/>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In recent years, the highest rate of increased fiscal revenues associated with the production and export of</w:t>
      </w:r>
      <w:r w:rsidRPr="00C40532">
        <w:rPr>
          <w:rStyle w:val="apple-converted-space"/>
          <w:color w:val="222222"/>
          <w:lang w:val="en-US"/>
        </w:rPr>
        <w:t> </w:t>
      </w:r>
      <w:r w:rsidR="00AA3725">
        <w:fldChar w:fldCharType="begin"/>
      </w:r>
      <w:r w:rsidR="00AA3725" w:rsidRPr="003E0431">
        <w:rPr>
          <w:lang w:val="en-US"/>
        </w:rPr>
        <w:instrText>HYPERLINK "https://en.wikipedia.org/wiki/Mineral_resources" \o "Mineral resources"</w:instrText>
      </w:r>
      <w:r w:rsidR="00AA3725">
        <w:fldChar w:fldCharType="separate"/>
      </w:r>
      <w:r w:rsidRPr="00C40532">
        <w:rPr>
          <w:rStyle w:val="a5"/>
          <w:color w:val="0B0080"/>
          <w:lang w:val="en-US"/>
        </w:rPr>
        <w:t>mineral resources</w:t>
      </w:r>
      <w:r w:rsidR="00AA3725">
        <w:fldChar w:fldCharType="end"/>
      </w:r>
      <w:r w:rsidRPr="00C40532">
        <w:rPr>
          <w:rStyle w:val="apple-converted-space"/>
          <w:color w:val="222222"/>
          <w:lang w:val="en-US"/>
        </w:rPr>
        <w:t> </w:t>
      </w:r>
      <w:r w:rsidRPr="00C40532">
        <w:rPr>
          <w:color w:val="222222"/>
          <w:lang w:val="en-US"/>
        </w:rPr>
        <w:t>(tax on</w:t>
      </w:r>
      <w:r w:rsidRPr="00C40532">
        <w:rPr>
          <w:rStyle w:val="apple-converted-space"/>
          <w:color w:val="222222"/>
          <w:lang w:val="en-US"/>
        </w:rPr>
        <w:t> </w:t>
      </w:r>
      <w:r w:rsidR="00AA3725">
        <w:fldChar w:fldCharType="begin"/>
      </w:r>
      <w:r w:rsidR="00AA3725" w:rsidRPr="003E0431">
        <w:rPr>
          <w:lang w:val="en-US"/>
        </w:rPr>
        <w:instrText>HYPERLINK "https://en.wikipedia.org/wiki/Mineral_extraction" \o "Mineral extraction"</w:instrText>
      </w:r>
      <w:r w:rsidR="00AA3725">
        <w:fldChar w:fldCharType="separate"/>
      </w:r>
      <w:r w:rsidRPr="00C40532">
        <w:rPr>
          <w:rStyle w:val="a5"/>
          <w:color w:val="0B0080"/>
          <w:lang w:val="en-US"/>
        </w:rPr>
        <w:t>mineral extraction</w:t>
      </w:r>
      <w:r w:rsidR="00AA3725">
        <w:fldChar w:fldCharType="end"/>
      </w:r>
      <w:r w:rsidRPr="00C40532">
        <w:rPr>
          <w:color w:val="222222"/>
          <w:lang w:val="en-US"/>
        </w:rPr>
        <w:t>, oil</w:t>
      </w:r>
      <w:r w:rsidRPr="00C40532">
        <w:rPr>
          <w:rStyle w:val="apple-converted-space"/>
          <w:color w:val="222222"/>
          <w:lang w:val="en-US"/>
        </w:rPr>
        <w:t> </w:t>
      </w:r>
      <w:r w:rsidR="00AA3725">
        <w:fldChar w:fldCharType="begin"/>
      </w:r>
      <w:r w:rsidR="00AA3725" w:rsidRPr="003E0431">
        <w:rPr>
          <w:lang w:val="en-US"/>
        </w:rPr>
        <w:instrText>HYPERLINK "https://en.wikipedia.org/wiki/Export_duties" \o "Export duties"</w:instrText>
      </w:r>
      <w:r w:rsidR="00AA3725">
        <w:fldChar w:fldCharType="separate"/>
      </w:r>
      <w:r w:rsidRPr="00C40532">
        <w:rPr>
          <w:rStyle w:val="a5"/>
          <w:color w:val="0B0080"/>
          <w:lang w:val="en-US"/>
        </w:rPr>
        <w:t>export duties</w:t>
      </w:r>
      <w:r w:rsidR="00AA3725">
        <w:fldChar w:fldCharType="end"/>
      </w:r>
      <w:r w:rsidRPr="00C40532">
        <w:rPr>
          <w:color w:val="222222"/>
          <w:lang w:val="en-US"/>
        </w:rPr>
        <w:t>, etc.). In particular, the 2008 federal budget of Russia was formed on 50% oil and gas revenues (in 2006 the share of oil and gas revenues accounted for more than half, in 2003 it accounted for a quarter of the total income).</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p>
    <w:p w:rsidR="00472A60" w:rsidRPr="00C40532" w:rsidRDefault="00472A60" w:rsidP="00472A60">
      <w:pPr>
        <w:pStyle w:val="2"/>
        <w:shd w:val="clear" w:color="auto" w:fill="FFFFFF"/>
        <w:spacing w:before="0" w:beforeAutospacing="0" w:after="0" w:afterAutospacing="0"/>
        <w:jc w:val="both"/>
        <w:rPr>
          <w:b w:val="0"/>
          <w:bCs w:val="0"/>
          <w:color w:val="000000"/>
          <w:sz w:val="24"/>
          <w:szCs w:val="24"/>
          <w:lang w:val="en-US"/>
        </w:rPr>
      </w:pPr>
      <w:r w:rsidRPr="00C40532">
        <w:rPr>
          <w:b w:val="0"/>
          <w:bCs w:val="0"/>
          <w:color w:val="000000"/>
          <w:sz w:val="24"/>
          <w:szCs w:val="24"/>
          <w:lang w:val="en-US"/>
        </w:rPr>
        <w:t>Russia recorded a Government Budget deficit equal to 2.60 percent of the country's Gross Domestic Product in 2015. Government Budget in Russia averaged 1.42 percent of GDP from 1994 until 2015, reaching an all time high of 9.88 percent of GDP in 2005 and a record low of -7.90 percent of GDP in 2009.</w:t>
      </w:r>
    </w:p>
    <w:p w:rsidR="00472A60" w:rsidRPr="00C40532" w:rsidRDefault="00472A60" w:rsidP="00472A60">
      <w:pPr>
        <w:pStyle w:val="2"/>
        <w:shd w:val="clear" w:color="auto" w:fill="FFFFFF"/>
        <w:spacing w:before="0" w:beforeAutospacing="0" w:after="0" w:afterAutospacing="0"/>
        <w:jc w:val="both"/>
        <w:rPr>
          <w:b w:val="0"/>
          <w:bCs w:val="0"/>
          <w:color w:val="000000"/>
          <w:sz w:val="24"/>
          <w:szCs w:val="24"/>
        </w:rPr>
      </w:pPr>
      <w:r w:rsidRPr="00C40532">
        <w:rPr>
          <w:noProof/>
          <w:sz w:val="24"/>
          <w:szCs w:val="24"/>
        </w:rPr>
        <w:drawing>
          <wp:inline distT="0" distB="0" distL="0" distR="0">
            <wp:extent cx="6120765" cy="2851771"/>
            <wp:effectExtent l="19050" t="0" r="0" b="0"/>
            <wp:docPr id="11" name="Рисунок 5" descr="Russia Government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ussia Government Budget"/>
                    <pic:cNvPicPr>
                      <a:picLocks noChangeAspect="1" noChangeArrowheads="1"/>
                    </pic:cNvPicPr>
                  </pic:nvPicPr>
                  <pic:blipFill>
                    <a:blip r:embed="rId60"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p w:rsidR="00472A60" w:rsidRPr="00C40532" w:rsidRDefault="00472A60" w:rsidP="00472A60">
      <w:pPr>
        <w:spacing w:after="0" w:line="240" w:lineRule="auto"/>
        <w:jc w:val="both"/>
        <w:rPr>
          <w:rFonts w:ascii="Times New Roman" w:hAnsi="Times New Roman" w:cs="Times New Roman"/>
          <w:sz w:val="24"/>
          <w:szCs w:val="24"/>
        </w:rPr>
      </w:pPr>
      <w:r w:rsidRPr="00C40532">
        <w:rPr>
          <w:rFonts w:ascii="Times New Roman" w:hAnsi="Times New Roman" w:cs="Times New Roman"/>
          <w:color w:val="333333"/>
          <w:sz w:val="24"/>
          <w:szCs w:val="24"/>
        </w:rPr>
        <w:br/>
      </w:r>
    </w:p>
    <w:tbl>
      <w:tblPr>
        <w:tblW w:w="12706" w:type="dxa"/>
        <w:tblCellMar>
          <w:top w:w="15" w:type="dxa"/>
          <w:left w:w="15" w:type="dxa"/>
          <w:bottom w:w="15" w:type="dxa"/>
          <w:right w:w="15" w:type="dxa"/>
        </w:tblCellMar>
        <w:tblLook w:val="04A0"/>
      </w:tblPr>
      <w:tblGrid>
        <w:gridCol w:w="3504"/>
        <w:gridCol w:w="1712"/>
        <w:gridCol w:w="1565"/>
        <w:gridCol w:w="1711"/>
        <w:gridCol w:w="1662"/>
        <w:gridCol w:w="2010"/>
        <w:gridCol w:w="542"/>
      </w:tblGrid>
      <w:tr w:rsidR="00472A60" w:rsidRPr="00C40532" w:rsidTr="000A0C98">
        <w:trPr>
          <w:tblHeader/>
        </w:trPr>
        <w:tc>
          <w:tcPr>
            <w:tcW w:w="0" w:type="auto"/>
            <w:tcBorders>
              <w:top w:val="nil"/>
              <w:bottom w:val="single" w:sz="12" w:space="0" w:color="DDDDDD"/>
            </w:tcBorders>
            <w:shd w:val="clear" w:color="auto" w:fill="FAFAFA"/>
            <w:tcMar>
              <w:top w:w="136" w:type="dxa"/>
              <w:left w:w="169"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Russia Government</w:t>
            </w:r>
          </w:p>
        </w:tc>
        <w:tc>
          <w:tcPr>
            <w:tcW w:w="0" w:type="auto"/>
            <w:tcBorders>
              <w:top w:val="nil"/>
              <w:bottom w:val="single" w:sz="12" w:space="0" w:color="DDDDDD"/>
            </w:tcBorders>
            <w:shd w:val="clear" w:color="auto" w:fill="FAFAFA"/>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Last</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Previous</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Highest</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Lowest</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Unit</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p>
        </w:tc>
      </w:tr>
      <w:tr w:rsidR="00472A60" w:rsidRPr="00C40532" w:rsidTr="000A0C98">
        <w:tc>
          <w:tcPr>
            <w:tcW w:w="0" w:type="auto"/>
            <w:tcBorders>
              <w:top w:val="single" w:sz="6" w:space="0" w:color="E7E7EF"/>
            </w:tcBorders>
            <w:shd w:val="clear" w:color="auto" w:fill="auto"/>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61" w:history="1">
              <w:r w:rsidR="00472A60" w:rsidRPr="00C40532">
                <w:rPr>
                  <w:rFonts w:ascii="Times New Roman" w:hAnsi="Times New Roman" w:cs="Times New Roman"/>
                  <w:color w:val="333333"/>
                  <w:sz w:val="24"/>
                  <w:szCs w:val="24"/>
                </w:rPr>
                <w:t>Government Debt to GDP</w:t>
              </w:r>
            </w:hyperlink>
          </w:p>
        </w:tc>
        <w:tc>
          <w:tcPr>
            <w:tcW w:w="0" w:type="auto"/>
            <w:tcBorders>
              <w:top w:val="single" w:sz="6" w:space="0" w:color="E7E7EF"/>
            </w:tcBorders>
            <w:shd w:val="clear" w:color="auto" w:fill="auto"/>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17.70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16.30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99.00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6.50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percent</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62"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0" w:type="auto"/>
            <w:tcBorders>
              <w:top w:val="single" w:sz="6" w:space="0" w:color="E7E7EF"/>
            </w:tcBorders>
            <w:shd w:val="clear" w:color="auto" w:fill="auto"/>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63" w:history="1">
              <w:r w:rsidR="00472A60" w:rsidRPr="00C40532">
                <w:rPr>
                  <w:rFonts w:ascii="Times New Roman" w:hAnsi="Times New Roman" w:cs="Times New Roman"/>
                  <w:color w:val="333333"/>
                  <w:sz w:val="24"/>
                  <w:szCs w:val="24"/>
                </w:rPr>
                <w:t>Government Budget</w:t>
              </w:r>
            </w:hyperlink>
          </w:p>
        </w:tc>
        <w:tc>
          <w:tcPr>
            <w:tcW w:w="0" w:type="auto"/>
            <w:tcBorders>
              <w:top w:val="single" w:sz="6" w:space="0" w:color="E7E7EF"/>
            </w:tcBorders>
            <w:shd w:val="clear" w:color="auto" w:fill="auto"/>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-2.60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-0.50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9.88</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-7.90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percent of GDP</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64"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0" w:type="auto"/>
            <w:tcBorders>
              <w:top w:val="single" w:sz="6" w:space="0" w:color="E7E7EF"/>
            </w:tcBorders>
            <w:shd w:val="clear" w:color="auto" w:fill="auto"/>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65" w:history="1">
              <w:r w:rsidR="00472A60" w:rsidRPr="00C40532">
                <w:rPr>
                  <w:rFonts w:ascii="Times New Roman" w:hAnsi="Times New Roman" w:cs="Times New Roman"/>
                  <w:color w:val="333333"/>
                  <w:sz w:val="24"/>
                  <w:szCs w:val="24"/>
                </w:rPr>
                <w:t>Government Budget Value</w:t>
              </w:r>
            </w:hyperlink>
          </w:p>
        </w:tc>
        <w:tc>
          <w:tcPr>
            <w:tcW w:w="0" w:type="auto"/>
            <w:tcBorders>
              <w:top w:val="single" w:sz="6" w:space="0" w:color="E7E7EF"/>
            </w:tcBorders>
            <w:shd w:val="clear" w:color="auto" w:fill="auto"/>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-147.81</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295924.80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3834598.30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-3142046.80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RUB Million</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66"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0" w:type="auto"/>
            <w:tcBorders>
              <w:top w:val="single" w:sz="6" w:space="0" w:color="E7E7EF"/>
            </w:tcBorders>
            <w:shd w:val="clear" w:color="auto" w:fill="auto"/>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67" w:history="1">
              <w:r w:rsidR="00472A60" w:rsidRPr="00C40532">
                <w:rPr>
                  <w:rFonts w:ascii="Times New Roman" w:hAnsi="Times New Roman" w:cs="Times New Roman"/>
                  <w:color w:val="333333"/>
                  <w:sz w:val="24"/>
                  <w:szCs w:val="24"/>
                </w:rPr>
                <w:t>Government Spending</w:t>
              </w:r>
            </w:hyperlink>
          </w:p>
        </w:tc>
        <w:tc>
          <w:tcPr>
            <w:tcW w:w="0" w:type="auto"/>
            <w:tcBorders>
              <w:top w:val="single" w:sz="6" w:space="0" w:color="E7E7EF"/>
            </w:tcBorders>
            <w:shd w:val="clear" w:color="auto" w:fill="auto"/>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2686.80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2658.20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2849.60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1628.70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RUB Billion</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68"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0" w:type="auto"/>
            <w:tcBorders>
              <w:top w:val="single" w:sz="6" w:space="0" w:color="E7E7EF"/>
            </w:tcBorders>
            <w:shd w:val="clear" w:color="auto" w:fill="auto"/>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69" w:history="1">
              <w:r w:rsidR="00472A60" w:rsidRPr="00C40532">
                <w:rPr>
                  <w:rFonts w:ascii="Times New Roman" w:hAnsi="Times New Roman" w:cs="Times New Roman"/>
                  <w:color w:val="333333"/>
                  <w:sz w:val="24"/>
                  <w:szCs w:val="24"/>
                </w:rPr>
                <w:t>Government Revenues</w:t>
              </w:r>
            </w:hyperlink>
          </w:p>
        </w:tc>
        <w:tc>
          <w:tcPr>
            <w:tcW w:w="0" w:type="auto"/>
            <w:tcBorders>
              <w:top w:val="single" w:sz="6" w:space="0" w:color="E7E7EF"/>
            </w:tcBorders>
            <w:shd w:val="clear" w:color="auto" w:fill="auto"/>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3951076.70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1978849.20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27746716.10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35000.00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RUB Million</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70"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0" w:type="auto"/>
            <w:tcBorders>
              <w:top w:val="single" w:sz="6" w:space="0" w:color="E7E7EF"/>
            </w:tcBorders>
            <w:shd w:val="clear" w:color="auto" w:fill="auto"/>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71" w:history="1">
              <w:r w:rsidR="00472A60" w:rsidRPr="00C40532">
                <w:rPr>
                  <w:rFonts w:ascii="Times New Roman" w:hAnsi="Times New Roman" w:cs="Times New Roman"/>
                  <w:color w:val="333333"/>
                  <w:sz w:val="24"/>
                  <w:szCs w:val="24"/>
                </w:rPr>
                <w:t>Government Debt</w:t>
              </w:r>
            </w:hyperlink>
          </w:p>
        </w:tc>
        <w:tc>
          <w:tcPr>
            <w:tcW w:w="0" w:type="auto"/>
            <w:tcBorders>
              <w:top w:val="single" w:sz="6" w:space="0" w:color="E7E7EF"/>
            </w:tcBorders>
            <w:shd w:val="clear" w:color="auto" w:fill="auto"/>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11109.80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10634.70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11109.80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2454.90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RUB Billion</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72"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0" w:type="auto"/>
            <w:tcBorders>
              <w:top w:val="single" w:sz="6" w:space="0" w:color="E7E7EF"/>
            </w:tcBorders>
            <w:shd w:val="clear" w:color="auto" w:fill="auto"/>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73" w:history="1">
              <w:r w:rsidR="00472A60" w:rsidRPr="00C40532">
                <w:rPr>
                  <w:rFonts w:ascii="Times New Roman" w:hAnsi="Times New Roman" w:cs="Times New Roman"/>
                  <w:color w:val="333333"/>
                  <w:sz w:val="24"/>
                  <w:szCs w:val="24"/>
                </w:rPr>
                <w:t>Fiscal Expenditure</w:t>
              </w:r>
            </w:hyperlink>
          </w:p>
        </w:tc>
        <w:tc>
          <w:tcPr>
            <w:tcW w:w="0" w:type="auto"/>
            <w:tcBorders>
              <w:top w:val="single" w:sz="6" w:space="0" w:color="E7E7EF"/>
            </w:tcBorders>
            <w:shd w:val="clear" w:color="auto" w:fill="auto"/>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3928214.60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1682924.40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30888762.90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44800.00</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RUB Million</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74"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0" w:type="auto"/>
            <w:tcBorders>
              <w:top w:val="single" w:sz="6" w:space="0" w:color="E7E7EF"/>
            </w:tcBorders>
            <w:shd w:val="clear" w:color="auto" w:fill="F5F5F5"/>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75" w:history="1">
              <w:r w:rsidR="00472A60" w:rsidRPr="00C40532">
                <w:rPr>
                  <w:rFonts w:ascii="Times New Roman" w:hAnsi="Times New Roman" w:cs="Times New Roman"/>
                  <w:color w:val="333333"/>
                  <w:sz w:val="24"/>
                  <w:szCs w:val="24"/>
                </w:rPr>
                <w:t>Military Expenditure</w:t>
              </w:r>
            </w:hyperlink>
          </w:p>
        </w:tc>
        <w:tc>
          <w:tcPr>
            <w:tcW w:w="0" w:type="auto"/>
            <w:tcBorders>
              <w:top w:val="single" w:sz="6" w:space="0" w:color="E7E7EF"/>
            </w:tcBorders>
            <w:shd w:val="clear" w:color="auto" w:fill="F5F5F5"/>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91080.90</w:t>
            </w:r>
          </w:p>
        </w:tc>
        <w:tc>
          <w:tcPr>
            <w:tcW w:w="0" w:type="auto"/>
            <w:tcBorders>
              <w:top w:val="single" w:sz="6" w:space="0" w:color="E7E7EF"/>
            </w:tcBorders>
            <w:shd w:val="clear" w:color="auto" w:fill="F5F5F5"/>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84696.50</w:t>
            </w:r>
          </w:p>
        </w:tc>
        <w:tc>
          <w:tcPr>
            <w:tcW w:w="0" w:type="auto"/>
            <w:tcBorders>
              <w:top w:val="single" w:sz="6" w:space="0" w:color="E7E7EF"/>
            </w:tcBorders>
            <w:shd w:val="clear" w:color="auto" w:fill="F5F5F5"/>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91080.90</w:t>
            </w:r>
          </w:p>
        </w:tc>
        <w:tc>
          <w:tcPr>
            <w:tcW w:w="0" w:type="auto"/>
            <w:tcBorders>
              <w:top w:val="single" w:sz="6" w:space="0" w:color="E7E7EF"/>
            </w:tcBorders>
            <w:shd w:val="clear" w:color="auto" w:fill="F5F5F5"/>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19242.80</w:t>
            </w:r>
          </w:p>
        </w:tc>
        <w:tc>
          <w:tcPr>
            <w:tcW w:w="0" w:type="auto"/>
            <w:tcBorders>
              <w:top w:val="single" w:sz="6" w:space="0" w:color="E7E7EF"/>
            </w:tcBorders>
            <w:shd w:val="clear" w:color="auto" w:fill="F5F5F5"/>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USD Million</w:t>
            </w:r>
          </w:p>
        </w:tc>
        <w:tc>
          <w:tcPr>
            <w:tcW w:w="0" w:type="auto"/>
            <w:tcBorders>
              <w:top w:val="single" w:sz="6" w:space="0" w:color="E7E7EF"/>
            </w:tcBorders>
            <w:shd w:val="clear" w:color="auto" w:fill="F5F5F5"/>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76"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0" w:type="auto"/>
            <w:tcBorders>
              <w:top w:val="single" w:sz="6" w:space="0" w:color="E7E7EF"/>
            </w:tcBorders>
            <w:shd w:val="clear" w:color="auto" w:fill="auto"/>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77" w:history="1">
              <w:r w:rsidR="00472A60" w:rsidRPr="00C40532">
                <w:rPr>
                  <w:rFonts w:ascii="Times New Roman" w:hAnsi="Times New Roman" w:cs="Times New Roman"/>
                  <w:color w:val="333333"/>
                  <w:sz w:val="24"/>
                  <w:szCs w:val="24"/>
                </w:rPr>
                <w:t>Credit Rating</w:t>
              </w:r>
            </w:hyperlink>
          </w:p>
        </w:tc>
        <w:tc>
          <w:tcPr>
            <w:tcW w:w="0" w:type="auto"/>
            <w:tcBorders>
              <w:top w:val="single" w:sz="6" w:space="0" w:color="E7E7EF"/>
            </w:tcBorders>
            <w:shd w:val="clear" w:color="auto" w:fill="auto"/>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r w:rsidRPr="00C40532">
              <w:rPr>
                <w:rFonts w:ascii="Times New Roman" w:hAnsi="Times New Roman" w:cs="Times New Roman"/>
                <w:sz w:val="24"/>
                <w:szCs w:val="24"/>
              </w:rPr>
              <w:t>43.26</w:t>
            </w: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sz w:val="24"/>
                <w:szCs w:val="24"/>
              </w:rPr>
            </w:pPr>
          </w:p>
        </w:tc>
        <w:tc>
          <w:tcPr>
            <w:tcW w:w="0" w:type="auto"/>
            <w:tcBorders>
              <w:top w:val="single" w:sz="6" w:space="0" w:color="E7E7EF"/>
            </w:tcBorders>
            <w:shd w:val="clear" w:color="auto" w:fill="auto"/>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sz w:val="24"/>
                <w:szCs w:val="24"/>
              </w:rPr>
            </w:pPr>
            <w:hyperlink r:id="rId78" w:tgtFrame="_blank" w:history="1">
              <w:r w:rsidR="00472A60" w:rsidRPr="00C40532">
                <w:rPr>
                  <w:rFonts w:ascii="Times New Roman" w:hAnsi="Times New Roman" w:cs="Times New Roman"/>
                  <w:color w:val="333333"/>
                  <w:sz w:val="24"/>
                  <w:szCs w:val="24"/>
                </w:rPr>
                <w:t>[+]</w:t>
              </w:r>
            </w:hyperlink>
          </w:p>
        </w:tc>
      </w:tr>
    </w:tbl>
    <w:p w:rsidR="00472A60" w:rsidRPr="00C40532" w:rsidRDefault="00472A60" w:rsidP="00472A60">
      <w:pPr>
        <w:spacing w:after="0" w:line="240" w:lineRule="auto"/>
        <w:ind w:firstLine="567"/>
        <w:jc w:val="both"/>
        <w:rPr>
          <w:rFonts w:ascii="Times New Roman" w:hAnsi="Times New Roman" w:cs="Times New Roman"/>
          <w:sz w:val="24"/>
          <w:szCs w:val="24"/>
        </w:rPr>
      </w:pPr>
    </w:p>
    <w:p w:rsidR="00472A60" w:rsidRPr="00C40532" w:rsidRDefault="00472A60" w:rsidP="00472A60">
      <w:pPr>
        <w:spacing w:after="0" w:line="240" w:lineRule="auto"/>
        <w:ind w:firstLine="567"/>
        <w:jc w:val="both"/>
        <w:rPr>
          <w:rFonts w:ascii="Times New Roman" w:hAnsi="Times New Roman" w:cs="Times New Roman"/>
          <w:sz w:val="24"/>
          <w:szCs w:val="24"/>
        </w:rPr>
      </w:pPr>
    </w:p>
    <w:p w:rsidR="00472A60" w:rsidRPr="00C40532" w:rsidRDefault="00472A60" w:rsidP="00472A60">
      <w:pPr>
        <w:pStyle w:val="2"/>
        <w:shd w:val="clear" w:color="auto" w:fill="FFFFFF"/>
        <w:spacing w:before="0" w:beforeAutospacing="0" w:after="0" w:afterAutospacing="0"/>
        <w:jc w:val="both"/>
        <w:rPr>
          <w:b w:val="0"/>
          <w:bCs w:val="0"/>
          <w:color w:val="000000"/>
          <w:sz w:val="24"/>
          <w:szCs w:val="24"/>
          <w:lang w:val="en-US"/>
        </w:rPr>
      </w:pPr>
      <w:r w:rsidRPr="00C40532">
        <w:rPr>
          <w:b w:val="0"/>
          <w:bCs w:val="0"/>
          <w:color w:val="000000"/>
          <w:sz w:val="24"/>
          <w:szCs w:val="24"/>
          <w:lang w:val="en-US"/>
        </w:rPr>
        <w:t>Government Revenues in Russia increased to 3951076.70 RUB Million in February from 1978849.20 RUB Million in January of 2017. Government Revenues in Russia averaged 6611635.61 RUB Million from 1998 until 2017, reaching an all time high of 27746716.10 RUB Million in December of 2016 and a record low of 35000 RUB Million in January of 1998.</w:t>
      </w:r>
    </w:p>
    <w:p w:rsidR="00472A60" w:rsidRPr="00C40532" w:rsidRDefault="00472A60" w:rsidP="00472A60">
      <w:pPr>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noProof/>
          <w:sz w:val="24"/>
          <w:szCs w:val="24"/>
        </w:rPr>
        <w:drawing>
          <wp:inline distT="0" distB="0" distL="0" distR="0">
            <wp:extent cx="6120765" cy="2851771"/>
            <wp:effectExtent l="19050" t="0" r="0" b="0"/>
            <wp:docPr id="12" name="Рисунок 8" descr="Russia Government Reven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ussia Government Revenues"/>
                    <pic:cNvPicPr>
                      <a:picLocks noChangeAspect="1" noChangeArrowheads="1"/>
                    </pic:cNvPicPr>
                  </pic:nvPicPr>
                  <pic:blipFill>
                    <a:blip r:embed="rId79"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pStyle w:val="2"/>
        <w:shd w:val="clear" w:color="auto" w:fill="FFFFFF"/>
        <w:spacing w:before="0" w:beforeAutospacing="0" w:after="0" w:afterAutospacing="0"/>
        <w:jc w:val="both"/>
        <w:rPr>
          <w:b w:val="0"/>
          <w:bCs w:val="0"/>
          <w:color w:val="000000"/>
          <w:sz w:val="24"/>
          <w:szCs w:val="24"/>
          <w:lang w:val="en-US"/>
        </w:rPr>
      </w:pPr>
      <w:r w:rsidRPr="00C40532">
        <w:rPr>
          <w:sz w:val="24"/>
          <w:szCs w:val="24"/>
          <w:lang w:val="en-US"/>
        </w:rPr>
        <w:tab/>
      </w:r>
      <w:proofErr w:type="gramStart"/>
      <w:r w:rsidRPr="00C40532">
        <w:rPr>
          <w:b w:val="0"/>
          <w:bCs w:val="0"/>
          <w:color w:val="000000"/>
          <w:sz w:val="24"/>
          <w:szCs w:val="24"/>
          <w:lang w:val="en-US"/>
        </w:rPr>
        <w:t>Government Spending in Russia increased to 2686.80 RUB</w:t>
      </w:r>
      <w:proofErr w:type="gramEnd"/>
      <w:r w:rsidRPr="00C40532">
        <w:rPr>
          <w:b w:val="0"/>
          <w:bCs w:val="0"/>
          <w:color w:val="000000"/>
          <w:sz w:val="24"/>
          <w:szCs w:val="24"/>
          <w:lang w:val="en-US"/>
        </w:rPr>
        <w:t xml:space="preserve"> Billion in the fourth quarter of 2016 from 2658.20 RUB Billion in the third quarter of 2016. Government Spending in Russia averaged 2172.96 RUB Billion from 2003 until 2016, reaching an all time high of 2849.60 RUB Billion in the fourth quarter of 2013 and a record low of 1628.70 RUB Billion in the first quarter of 2003.</w:t>
      </w:r>
    </w:p>
    <w:p w:rsidR="00472A60" w:rsidRPr="00C40532" w:rsidRDefault="00472A60" w:rsidP="00472A60">
      <w:pPr>
        <w:tabs>
          <w:tab w:val="left" w:pos="1254"/>
        </w:tabs>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lastRenderedPageBreak/>
        <w:drawing>
          <wp:inline distT="0" distB="0" distL="0" distR="0">
            <wp:extent cx="6120765" cy="2851771"/>
            <wp:effectExtent l="19050" t="0" r="0" b="0"/>
            <wp:docPr id="14" name="Рисунок 11" descr="Russia Government Spe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ussia Government Spending"/>
                    <pic:cNvPicPr>
                      <a:picLocks noChangeAspect="1" noChangeArrowheads="1"/>
                    </pic:cNvPicPr>
                  </pic:nvPicPr>
                  <pic:blipFill>
                    <a:blip r:embed="rId80"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p w:rsidR="00472A60" w:rsidRPr="00C40532" w:rsidRDefault="00472A60" w:rsidP="00472A60">
      <w:pPr>
        <w:tabs>
          <w:tab w:val="left" w:pos="1254"/>
        </w:tabs>
        <w:spacing w:after="0" w:line="240" w:lineRule="auto"/>
        <w:jc w:val="both"/>
        <w:rPr>
          <w:rFonts w:ascii="Times New Roman" w:hAnsi="Times New Roman" w:cs="Times New Roman"/>
          <w:sz w:val="24"/>
          <w:szCs w:val="24"/>
        </w:rPr>
      </w:pPr>
    </w:p>
    <w:p w:rsidR="00472A60" w:rsidRPr="00C40532" w:rsidRDefault="00472A60" w:rsidP="00472A60">
      <w:pPr>
        <w:pStyle w:val="2"/>
        <w:shd w:val="clear" w:color="auto" w:fill="FFFFFF"/>
        <w:spacing w:before="0" w:beforeAutospacing="0" w:after="0" w:afterAutospacing="0"/>
        <w:jc w:val="both"/>
        <w:rPr>
          <w:b w:val="0"/>
          <w:bCs w:val="0"/>
          <w:color w:val="000000"/>
          <w:sz w:val="24"/>
          <w:szCs w:val="24"/>
          <w:lang w:val="en-US"/>
        </w:rPr>
      </w:pPr>
      <w:r w:rsidRPr="00C40532">
        <w:rPr>
          <w:b w:val="0"/>
          <w:bCs w:val="0"/>
          <w:color w:val="000000"/>
          <w:sz w:val="24"/>
          <w:szCs w:val="24"/>
          <w:lang w:val="en-US"/>
        </w:rPr>
        <w:t>Military Expenditure in Russia increased to 91080.90 USD Million in 2015 from 84696.50 USD Million in 2014. Military Expenditure in Russia averaged 48891.53 USD Million from 1992 until 2015, reaching an all time high of 91080.90 USD Million in 2015 and a record low of 19242.80 USD Million in 1998.</w:t>
      </w:r>
    </w:p>
    <w:p w:rsidR="00472A60" w:rsidRPr="00C40532" w:rsidRDefault="00472A60" w:rsidP="00472A60">
      <w:pPr>
        <w:tabs>
          <w:tab w:val="left" w:pos="1254"/>
        </w:tabs>
        <w:spacing w:after="0" w:line="240" w:lineRule="auto"/>
        <w:jc w:val="both"/>
        <w:rPr>
          <w:rFonts w:ascii="Times New Roman" w:hAnsi="Times New Roman" w:cs="Times New Roman"/>
          <w:sz w:val="24"/>
          <w:szCs w:val="24"/>
          <w:lang w:val="en-US"/>
        </w:rPr>
      </w:pPr>
    </w:p>
    <w:p w:rsidR="00472A60" w:rsidRPr="00C40532" w:rsidRDefault="00472A60" w:rsidP="00472A60">
      <w:pPr>
        <w:tabs>
          <w:tab w:val="left" w:pos="1254"/>
        </w:tabs>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6120765" cy="2851771"/>
            <wp:effectExtent l="19050" t="0" r="0" b="0"/>
            <wp:docPr id="15" name="Рисунок 14" descr="Russia Military Expendi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ussia Military Expenditure"/>
                    <pic:cNvPicPr>
                      <a:picLocks noChangeAspect="1" noChangeArrowheads="1"/>
                    </pic:cNvPicPr>
                  </pic:nvPicPr>
                  <pic:blipFill>
                    <a:blip r:embed="rId81"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p w:rsidR="00472A60" w:rsidRPr="00C40532" w:rsidRDefault="00472A60" w:rsidP="00472A60">
      <w:pPr>
        <w:tabs>
          <w:tab w:val="left" w:pos="1254"/>
        </w:tabs>
        <w:spacing w:after="0" w:line="240" w:lineRule="auto"/>
        <w:jc w:val="both"/>
        <w:rPr>
          <w:rFonts w:ascii="Times New Roman" w:hAnsi="Times New Roman" w:cs="Times New Roman"/>
          <w:sz w:val="24"/>
          <w:szCs w:val="24"/>
        </w:rPr>
      </w:pPr>
    </w:p>
    <w:p w:rsidR="00472A60" w:rsidRPr="00C40532" w:rsidRDefault="00472A60" w:rsidP="00472A60">
      <w:pPr>
        <w:pStyle w:val="2"/>
        <w:shd w:val="clear" w:color="auto" w:fill="FFFFFF"/>
        <w:spacing w:before="0" w:beforeAutospacing="0" w:after="0" w:afterAutospacing="0"/>
        <w:jc w:val="both"/>
        <w:rPr>
          <w:b w:val="0"/>
          <w:bCs w:val="0"/>
          <w:color w:val="000000"/>
          <w:sz w:val="24"/>
          <w:szCs w:val="24"/>
          <w:lang w:val="en-US"/>
        </w:rPr>
      </w:pPr>
      <w:r w:rsidRPr="00C40532">
        <w:rPr>
          <w:b w:val="0"/>
          <w:bCs w:val="0"/>
          <w:color w:val="000000"/>
          <w:sz w:val="24"/>
          <w:szCs w:val="24"/>
          <w:lang w:val="en-US"/>
        </w:rPr>
        <w:t xml:space="preserve">Government Debt in Russia increased to 11109.80 </w:t>
      </w:r>
      <w:proofErr w:type="gramStart"/>
      <w:r w:rsidRPr="00C40532">
        <w:rPr>
          <w:b w:val="0"/>
          <w:bCs w:val="0"/>
          <w:color w:val="000000"/>
          <w:sz w:val="24"/>
          <w:szCs w:val="24"/>
          <w:lang w:val="en-US"/>
        </w:rPr>
        <w:t>RUB</w:t>
      </w:r>
      <w:proofErr w:type="gramEnd"/>
      <w:r w:rsidRPr="00C40532">
        <w:rPr>
          <w:b w:val="0"/>
          <w:bCs w:val="0"/>
          <w:color w:val="000000"/>
          <w:sz w:val="24"/>
          <w:szCs w:val="24"/>
          <w:lang w:val="en-US"/>
        </w:rPr>
        <w:t xml:space="preserve"> Billion in the fourth quarter of 2016 from 10634.70 RUB Billion in the third quarter of 2016. Government Debt in Russia averaged 6450.85 RUB Billion from 2008 until 2016, reaching an all time high of 11109.80 RUB Billion in the fourth quarter of 2016 and a record low of 2454.90 RUB Billion in the third quarter of 2008.</w:t>
      </w:r>
    </w:p>
    <w:p w:rsidR="00472A60" w:rsidRPr="00C40532" w:rsidRDefault="00472A60" w:rsidP="00472A60">
      <w:pPr>
        <w:tabs>
          <w:tab w:val="left" w:pos="1254"/>
        </w:tabs>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lastRenderedPageBreak/>
        <w:drawing>
          <wp:inline distT="0" distB="0" distL="0" distR="0">
            <wp:extent cx="6120765" cy="2851771"/>
            <wp:effectExtent l="19050" t="0" r="0" b="0"/>
            <wp:docPr id="17" name="Рисунок 17" descr="Russia Government De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ussia Government Debt"/>
                    <pic:cNvPicPr>
                      <a:picLocks noChangeAspect="1" noChangeArrowheads="1"/>
                    </pic:cNvPicPr>
                  </pic:nvPicPr>
                  <pic:blipFill>
                    <a:blip r:embed="rId82"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p w:rsidR="00472A60" w:rsidRPr="00C40532" w:rsidRDefault="00472A60" w:rsidP="00472A60">
      <w:pPr>
        <w:tabs>
          <w:tab w:val="left" w:pos="1254"/>
        </w:tabs>
        <w:spacing w:after="0" w:line="240" w:lineRule="auto"/>
        <w:jc w:val="both"/>
        <w:rPr>
          <w:rFonts w:ascii="Times New Roman" w:hAnsi="Times New Roman" w:cs="Times New Roman"/>
          <w:sz w:val="24"/>
          <w:szCs w:val="24"/>
        </w:rPr>
      </w:pPr>
    </w:p>
    <w:p w:rsidR="00472A60" w:rsidRPr="00C40532" w:rsidRDefault="00472A60" w:rsidP="00472A60">
      <w:pPr>
        <w:tabs>
          <w:tab w:val="left" w:pos="1254"/>
        </w:tabs>
        <w:spacing w:after="0" w:line="240" w:lineRule="auto"/>
        <w:jc w:val="both"/>
        <w:rPr>
          <w:rFonts w:ascii="Times New Roman" w:hAnsi="Times New Roman" w:cs="Times New Roman"/>
          <w:sz w:val="24"/>
          <w:szCs w:val="24"/>
        </w:rPr>
      </w:pPr>
    </w:p>
    <w:p w:rsidR="00472A60" w:rsidRPr="00C40532" w:rsidRDefault="00472A60" w:rsidP="00472A60">
      <w:pPr>
        <w:pStyle w:val="1"/>
        <w:shd w:val="clear" w:color="auto" w:fill="FFFFFF"/>
        <w:spacing w:before="0"/>
        <w:jc w:val="both"/>
        <w:rPr>
          <w:rFonts w:ascii="Times New Roman" w:hAnsi="Times New Roman" w:cs="Times New Roman"/>
          <w:color w:val="076F2F"/>
          <w:sz w:val="24"/>
          <w:szCs w:val="24"/>
          <w:lang w:val="en-US"/>
        </w:rPr>
      </w:pPr>
      <w:r w:rsidRPr="00C40532">
        <w:rPr>
          <w:rFonts w:ascii="Times New Roman" w:hAnsi="Times New Roman" w:cs="Times New Roman"/>
          <w:color w:val="076F2F"/>
          <w:sz w:val="24"/>
          <w:szCs w:val="24"/>
          <w:lang w:val="en-US"/>
        </w:rPr>
        <w:t>National Wealth Fund</w:t>
      </w:r>
    </w:p>
    <w:p w:rsidR="00472A60" w:rsidRPr="00C40532" w:rsidRDefault="00472A60" w:rsidP="00472A60">
      <w:pPr>
        <w:pStyle w:val="1"/>
        <w:shd w:val="clear" w:color="auto" w:fill="FFFFFF"/>
        <w:spacing w:before="0"/>
        <w:jc w:val="both"/>
        <w:rPr>
          <w:rFonts w:ascii="Times New Roman" w:hAnsi="Times New Roman" w:cs="Times New Roman"/>
          <w:color w:val="076F2F"/>
          <w:sz w:val="24"/>
          <w:szCs w:val="24"/>
          <w:lang w:val="en-US"/>
        </w:rPr>
      </w:pPr>
      <w:r w:rsidRPr="00C40532">
        <w:rPr>
          <w:rFonts w:ascii="Times New Roman" w:hAnsi="Times New Roman" w:cs="Times New Roman"/>
          <w:color w:val="076F2F"/>
          <w:sz w:val="24"/>
          <w:szCs w:val="24"/>
          <w:lang w:val="en-US"/>
        </w:rPr>
        <w:t xml:space="preserve"> Mission</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The National Wealth Fund (NWF) is a part of federal budget assets. NWF is dedicated to support pension system of the Russian Federation to guarantee long-term sound functioning of the system. Fund’s primer assignments are to co-finance voluntary pension savings of Russian citizens and to balance budget of Pension Fund of the Russian Federation.</w:t>
      </w:r>
    </w:p>
    <w:p w:rsidR="00472A60" w:rsidRPr="00C40532" w:rsidRDefault="00472A60" w:rsidP="00472A60">
      <w:pPr>
        <w:pStyle w:val="1"/>
        <w:shd w:val="clear" w:color="auto" w:fill="FFFFFF"/>
        <w:spacing w:before="0"/>
        <w:jc w:val="both"/>
        <w:rPr>
          <w:rFonts w:ascii="Times New Roman" w:hAnsi="Times New Roman" w:cs="Times New Roman"/>
          <w:color w:val="076F2F"/>
          <w:sz w:val="24"/>
          <w:szCs w:val="24"/>
          <w:lang w:val="en-US"/>
        </w:rPr>
      </w:pPr>
      <w:r w:rsidRPr="00C40532">
        <w:rPr>
          <w:rFonts w:ascii="Times New Roman" w:hAnsi="Times New Roman" w:cs="Times New Roman"/>
          <w:color w:val="076F2F"/>
          <w:sz w:val="24"/>
          <w:szCs w:val="24"/>
          <w:lang w:val="en-US"/>
        </w:rPr>
        <w:t>Accumulation</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b/>
          <w:bCs/>
          <w:color w:val="4D4D48"/>
          <w:lang w:val="en-US"/>
        </w:rPr>
        <w:t>Oil and gas revenues of the federal budget</w:t>
      </w:r>
      <w:r w:rsidRPr="00C40532">
        <w:rPr>
          <w:rStyle w:val="apple-converted-space"/>
          <w:color w:val="4D4D48"/>
          <w:lang w:val="en-US"/>
        </w:rPr>
        <w:t> </w:t>
      </w:r>
      <w:r w:rsidRPr="00C40532">
        <w:rPr>
          <w:color w:val="4D4D48"/>
          <w:lang w:val="en-US"/>
        </w:rPr>
        <w:t>are comprised of the following:</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w:t>
      </w:r>
      <w:proofErr w:type="gramStart"/>
      <w:r w:rsidRPr="00C40532">
        <w:rPr>
          <w:color w:val="4D4D48"/>
          <w:lang w:val="en-US"/>
        </w:rPr>
        <w:t>oil</w:t>
      </w:r>
      <w:proofErr w:type="gramEnd"/>
      <w:r w:rsidRPr="00C40532">
        <w:rPr>
          <w:color w:val="4D4D48"/>
          <w:lang w:val="en-US"/>
        </w:rPr>
        <w:t xml:space="preserve"> and gas production tax (oil, natural gas, gas condensate);</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export customs duty on crude oil;</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export customs duty on natural gas;</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export customs duty on oil products.</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Each year part of these revenues is applied as an</w:t>
      </w:r>
      <w:r w:rsidRPr="00C40532">
        <w:rPr>
          <w:rStyle w:val="apple-converted-space"/>
          <w:color w:val="4D4D48"/>
          <w:lang w:val="en-US"/>
        </w:rPr>
        <w:t> </w:t>
      </w:r>
      <w:r w:rsidRPr="00C40532">
        <w:rPr>
          <w:b/>
          <w:bCs/>
          <w:color w:val="4D4D48"/>
          <w:lang w:val="en-US"/>
        </w:rPr>
        <w:t>oil and gas</w:t>
      </w:r>
      <w:r w:rsidRPr="00C40532">
        <w:rPr>
          <w:rStyle w:val="apple-converted-space"/>
          <w:color w:val="4D4D48"/>
          <w:lang w:val="en-US"/>
        </w:rPr>
        <w:t> </w:t>
      </w:r>
      <w:r w:rsidRPr="00C40532">
        <w:rPr>
          <w:b/>
          <w:bCs/>
          <w:color w:val="4D4D48"/>
          <w:lang w:val="en-US"/>
        </w:rPr>
        <w:t>transfer</w:t>
      </w:r>
      <w:r w:rsidRPr="00C40532">
        <w:rPr>
          <w:rStyle w:val="apple-converted-space"/>
          <w:color w:val="4D4D48"/>
          <w:lang w:val="en-US"/>
        </w:rPr>
        <w:t> </w:t>
      </w:r>
      <w:r w:rsidRPr="00C40532">
        <w:rPr>
          <w:color w:val="4D4D48"/>
          <w:lang w:val="en-US"/>
        </w:rPr>
        <w:t>to finance federal budget expenditures. Size of the oil and gas transfer is constituted by federal law on the federal budget for a corresponding fiscal year and planning period in the absolute amount, determined as 3.7% of forecasted GDP in the corresponding year.</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After oil and gas transfer is completely executed remaining oil and gas revenues are accumulated in the</w:t>
      </w:r>
      <w:r w:rsidRPr="00C40532">
        <w:rPr>
          <w:rStyle w:val="apple-converted-space"/>
          <w:color w:val="4D4D48"/>
          <w:lang w:val="en-US"/>
        </w:rPr>
        <w:t> </w:t>
      </w:r>
      <w:r w:rsidRPr="00C40532">
        <w:rPr>
          <w:b/>
          <w:bCs/>
          <w:color w:val="4D4D48"/>
          <w:lang w:val="en-US"/>
        </w:rPr>
        <w:t>Reserve Fund</w:t>
      </w:r>
      <w:r w:rsidRPr="00C40532">
        <w:rPr>
          <w:color w:val="4D4D48"/>
          <w:lang w:val="en-US"/>
        </w:rPr>
        <w:t>.</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Regulatory size of the Reserve Fund is constituted by federal law on federal budget for a corresponding fiscal year and planning period as an amount equal to 10% of forecasted GDP in corresponding year. Whenever the Reserve Fund reaches aforementioned cap then remaining oil and gas revenues are transferred to the</w:t>
      </w:r>
      <w:r w:rsidRPr="00C40532">
        <w:rPr>
          <w:rStyle w:val="apple-converted-space"/>
          <w:color w:val="4D4D48"/>
          <w:lang w:val="en-US"/>
        </w:rPr>
        <w:t> </w:t>
      </w:r>
      <w:r w:rsidRPr="00C40532">
        <w:rPr>
          <w:b/>
          <w:bCs/>
          <w:color w:val="4D4D48"/>
          <w:lang w:val="en-US"/>
        </w:rPr>
        <w:t>National Wealth Fund</w:t>
      </w:r>
      <w:r w:rsidRPr="00C40532">
        <w:rPr>
          <w:color w:val="4D4D48"/>
          <w:lang w:val="en-US"/>
        </w:rPr>
        <w:t>.</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i/>
          <w:iCs/>
          <w:color w:val="4D4D48"/>
          <w:lang w:val="en-US"/>
        </w:rPr>
        <w:t>Since 1 January 2010 till 1 January 2014 regulatory size of the Reserve Fund will not be constituted, oil and gas revenues of the federal budget will not be used to finance oil and gas transfer and to form the Reserve Fund and National Wealth Fund, but deployed to finance federal budget expenditures.</w:t>
      </w:r>
      <w:r w:rsidRPr="00C40532">
        <w:rPr>
          <w:rStyle w:val="apple-converted-space"/>
          <w:b/>
          <w:bCs/>
          <w:i/>
          <w:iCs/>
          <w:color w:val="4D4D48"/>
          <w:lang w:val="en-US"/>
        </w:rPr>
        <w:t> </w:t>
      </w:r>
      <w:bookmarkStart w:id="0" w:name="_ftnref1"/>
      <w:r w:rsidR="00AA3725" w:rsidRPr="00C40532">
        <w:rPr>
          <w:color w:val="4D4D48"/>
        </w:rPr>
        <w:fldChar w:fldCharType="begin"/>
      </w:r>
      <w:r w:rsidRPr="00C40532">
        <w:rPr>
          <w:color w:val="4D4D48"/>
          <w:lang w:val="en-US"/>
        </w:rPr>
        <w:instrText xml:space="preserve"> HYPERLINK "http://old.minfin.ru/en/nationalwealthfund/accumulation/" \l "_ftn1" \o "" </w:instrText>
      </w:r>
      <w:r w:rsidR="00AA3725" w:rsidRPr="00C40532">
        <w:rPr>
          <w:color w:val="4D4D48"/>
        </w:rPr>
        <w:fldChar w:fldCharType="separate"/>
      </w:r>
      <w:r w:rsidRPr="00C40532">
        <w:rPr>
          <w:rStyle w:val="a5"/>
          <w:b/>
          <w:bCs/>
          <w:i/>
          <w:iCs/>
          <w:color w:val="076F2F"/>
          <w:lang w:val="en-US"/>
        </w:rPr>
        <w:t>[1]</w:t>
      </w:r>
      <w:r w:rsidR="00AA3725" w:rsidRPr="00C40532">
        <w:rPr>
          <w:color w:val="4D4D48"/>
        </w:rPr>
        <w:fldChar w:fldCharType="end"/>
      </w:r>
      <w:bookmarkEnd w:id="0"/>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Other cash proceeds of the National Wealth Fund are returns resulting from its asset management.</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i/>
          <w:iCs/>
          <w:color w:val="4D4D48"/>
          <w:lang w:val="en-US"/>
        </w:rPr>
        <w:t>Since 1 January 2010 till 1 February 2014 returns resulting from the National Wealth Fund’s asset management will not be reinvested to the Fund but deployed to finance federal budget expenditures.</w:t>
      </w:r>
      <w:bookmarkStart w:id="1" w:name="_ftnref2"/>
      <w:r w:rsidR="00AA3725" w:rsidRPr="00C40532">
        <w:rPr>
          <w:color w:val="4D4D48"/>
        </w:rPr>
        <w:fldChar w:fldCharType="begin"/>
      </w:r>
      <w:r w:rsidRPr="00C40532">
        <w:rPr>
          <w:color w:val="4D4D48"/>
          <w:lang w:val="en-US"/>
        </w:rPr>
        <w:instrText xml:space="preserve"> HYPERLINK "http://old.minfin.ru/en/nationalwealthfund/accumulation/" \l "_ftn2" \o "" </w:instrText>
      </w:r>
      <w:r w:rsidR="00AA3725" w:rsidRPr="00C40532">
        <w:rPr>
          <w:color w:val="4D4D48"/>
        </w:rPr>
        <w:fldChar w:fldCharType="separate"/>
      </w:r>
      <w:r w:rsidRPr="00C40532">
        <w:rPr>
          <w:rStyle w:val="a5"/>
          <w:b/>
          <w:bCs/>
          <w:i/>
          <w:iCs/>
          <w:color w:val="076F2F"/>
          <w:lang w:val="en-US"/>
        </w:rPr>
        <w:t>[2]</w:t>
      </w:r>
      <w:r w:rsidR="00AA3725" w:rsidRPr="00C40532">
        <w:rPr>
          <w:color w:val="4D4D48"/>
        </w:rPr>
        <w:fldChar w:fldCharType="end"/>
      </w:r>
      <w:bookmarkEnd w:id="1"/>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lastRenderedPageBreak/>
        <w:t>Oil and gas revenues of federal budget, the Reserve Fund and the National Wealth Fund are accounted on separate federal budget accounts of Federal Treasury with the Bank of Russia.</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i/>
          <w:iCs/>
          <w:color w:val="4D4D48"/>
          <w:lang w:val="en-US"/>
        </w:rPr>
        <w:t>Since 1 January 2010 till 1 January 2014 separate account of oil and gas revenues of federal budget will not be carried out.</w:t>
      </w:r>
      <w:r w:rsidRPr="00C40532">
        <w:rPr>
          <w:rStyle w:val="apple-converted-space"/>
          <w:i/>
          <w:iCs/>
          <w:color w:val="4D4D48"/>
          <w:lang w:val="en-US"/>
        </w:rPr>
        <w:t> </w:t>
      </w:r>
      <w:bookmarkStart w:id="2" w:name="_ftnref3"/>
      <w:r w:rsidR="00AA3725" w:rsidRPr="00C40532">
        <w:rPr>
          <w:i/>
          <w:iCs/>
          <w:color w:val="4D4D48"/>
        </w:rPr>
        <w:fldChar w:fldCharType="begin"/>
      </w:r>
      <w:r w:rsidRPr="00C40532">
        <w:rPr>
          <w:i/>
          <w:iCs/>
          <w:color w:val="4D4D48"/>
          <w:lang w:val="en-US"/>
        </w:rPr>
        <w:instrText xml:space="preserve"> HYPERLINK "http://old.minfin.ru/en/nationalwealthfund/accumulation/" \l "_ftn3" \o "" </w:instrText>
      </w:r>
      <w:r w:rsidR="00AA3725" w:rsidRPr="00C40532">
        <w:rPr>
          <w:i/>
          <w:iCs/>
          <w:color w:val="4D4D48"/>
        </w:rPr>
        <w:fldChar w:fldCharType="separate"/>
      </w:r>
      <w:r w:rsidRPr="00C40532">
        <w:rPr>
          <w:rStyle w:val="a5"/>
          <w:b/>
          <w:bCs/>
          <w:i/>
          <w:iCs/>
          <w:color w:val="076F2F"/>
          <w:lang w:val="en-US"/>
        </w:rPr>
        <w:t>[3]</w:t>
      </w:r>
      <w:r w:rsidR="00AA3725" w:rsidRPr="00C40532">
        <w:rPr>
          <w:i/>
          <w:iCs/>
          <w:color w:val="4D4D48"/>
        </w:rPr>
        <w:fldChar w:fldCharType="end"/>
      </w:r>
      <w:bookmarkEnd w:id="2"/>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Ministry of Finance is responsible for accumulation and spending procedures of oil and gas revenues of federal budget, oil and gas transfer, Reserve and National Wealth Funds in accordance with terms and procedure established by the Government of the Russian Federation. </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i/>
          <w:iCs/>
          <w:color w:val="4D4D48"/>
          <w:lang w:val="en-US"/>
        </w:rPr>
        <w:t>Since 1 January 2010 till 1 February 2014 accumulation and spending procedures of oil and gas revenues of federal budget, oil and gas transfer, Reserve Fund and National Wealth fund are suspended.</w:t>
      </w:r>
      <w:r w:rsidRPr="00C40532">
        <w:rPr>
          <w:rStyle w:val="apple-converted-space"/>
          <w:i/>
          <w:iCs/>
          <w:color w:val="4D4D48"/>
          <w:lang w:val="en-US"/>
        </w:rPr>
        <w:t> </w:t>
      </w:r>
      <w:bookmarkStart w:id="3" w:name="_ftnref4"/>
      <w:r w:rsidR="00AA3725" w:rsidRPr="00C40532">
        <w:rPr>
          <w:i/>
          <w:iCs/>
          <w:color w:val="4D4D48"/>
        </w:rPr>
        <w:fldChar w:fldCharType="begin"/>
      </w:r>
      <w:r w:rsidRPr="00C40532">
        <w:rPr>
          <w:i/>
          <w:iCs/>
          <w:color w:val="4D4D48"/>
          <w:lang w:val="en-US"/>
        </w:rPr>
        <w:instrText xml:space="preserve"> HYPERLINK "http://old.minfin.ru/en/nationalwealthfund/accumulation/" \l "_ftn4" \o "" </w:instrText>
      </w:r>
      <w:r w:rsidR="00AA3725" w:rsidRPr="00C40532">
        <w:rPr>
          <w:i/>
          <w:iCs/>
          <w:color w:val="4D4D48"/>
        </w:rPr>
        <w:fldChar w:fldCharType="separate"/>
      </w:r>
      <w:r w:rsidRPr="00C40532">
        <w:rPr>
          <w:rStyle w:val="a5"/>
          <w:b/>
          <w:bCs/>
          <w:i/>
          <w:iCs/>
          <w:color w:val="076F2F"/>
          <w:lang w:val="en-US"/>
        </w:rPr>
        <w:t>[4]</w:t>
      </w:r>
      <w:r w:rsidR="00AA3725" w:rsidRPr="00C40532">
        <w:rPr>
          <w:i/>
          <w:iCs/>
          <w:color w:val="4D4D48"/>
        </w:rPr>
        <w:fldChar w:fldCharType="end"/>
      </w:r>
      <w:bookmarkEnd w:id="3"/>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Accounting of oil and gas revenue of the federal budget, assets of the Reserve Fund and National Wealth Fund is realized in the order of accounting the federal budget assets.</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b/>
          <w:bCs/>
          <w:color w:val="4D4D48"/>
          <w:lang w:val="en-US"/>
        </w:rPr>
        <w:t>NWF assets can be invested in following ways (in one or all of them simultaneously</w:t>
      </w:r>
      <w:proofErr w:type="gramStart"/>
      <w:r w:rsidRPr="00C40532">
        <w:rPr>
          <w:b/>
          <w:bCs/>
          <w:color w:val="4D4D48"/>
          <w:lang w:val="en-US"/>
        </w:rPr>
        <w:t>)</w:t>
      </w:r>
      <w:proofErr w:type="gramEnd"/>
      <w:r w:rsidR="00AA3725">
        <w:fldChar w:fldCharType="begin"/>
      </w:r>
      <w:r w:rsidR="00004B32" w:rsidRPr="008B4EEF">
        <w:rPr>
          <w:lang w:val="en-US"/>
        </w:rPr>
        <w:instrText>HYPERLINK "http://www1.minfin.ru/en/nationalwealthfund/management/" \l "_ftn3#_ftn3"</w:instrText>
      </w:r>
      <w:r w:rsidR="00AA3725">
        <w:fldChar w:fldCharType="separate"/>
      </w:r>
      <w:r w:rsidRPr="00C40532">
        <w:rPr>
          <w:rStyle w:val="a5"/>
          <w:color w:val="076F2F"/>
          <w:lang w:val="en-US"/>
        </w:rPr>
        <w:t>[3]</w:t>
      </w:r>
      <w:r w:rsidR="00AA3725">
        <w:fldChar w:fldCharType="end"/>
      </w:r>
      <w:r w:rsidRPr="00C40532">
        <w:rPr>
          <w:color w:val="4D4D48"/>
          <w:lang w:val="en-US"/>
        </w:rPr>
        <w:t>:</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xml:space="preserve">1) </w:t>
      </w:r>
      <w:proofErr w:type="gramStart"/>
      <w:r w:rsidRPr="00C40532">
        <w:rPr>
          <w:color w:val="4D4D48"/>
          <w:lang w:val="en-US"/>
        </w:rPr>
        <w:t>purchase</w:t>
      </w:r>
      <w:proofErr w:type="gramEnd"/>
      <w:r w:rsidRPr="00C40532">
        <w:rPr>
          <w:color w:val="4D4D48"/>
          <w:lang w:val="en-US"/>
        </w:rPr>
        <w:t xml:space="preserve"> of foreign currencies (US dollars, euro, GB pounds) and allocation to the Federal Treasury’s accounts with the Bank of Russia which pays interest on them according to bank account agreement;</w:t>
      </w:r>
    </w:p>
    <w:p w:rsidR="00472A60" w:rsidRPr="00C40532" w:rsidRDefault="00472A60" w:rsidP="00472A60">
      <w:pPr>
        <w:pStyle w:val="a6"/>
        <w:shd w:val="clear" w:color="auto" w:fill="FFFFFF"/>
        <w:spacing w:before="0" w:beforeAutospacing="0" w:after="0" w:afterAutospacing="0"/>
        <w:jc w:val="both"/>
        <w:rPr>
          <w:color w:val="4D4D48"/>
          <w:lang w:val="en-US"/>
        </w:rPr>
      </w:pPr>
      <w:proofErr w:type="gramStart"/>
      <w:r w:rsidRPr="00C40532">
        <w:rPr>
          <w:color w:val="4D4D48"/>
          <w:lang w:val="en-US"/>
        </w:rPr>
        <w:t>2)purchase</w:t>
      </w:r>
      <w:proofErr w:type="gramEnd"/>
      <w:r w:rsidRPr="00C40532">
        <w:rPr>
          <w:color w:val="4D4D48"/>
          <w:lang w:val="en-US"/>
        </w:rPr>
        <w:t xml:space="preserve"> of foreign currencies and financial assets denominated in Russian ruble and eligible foreign currencies (further – eligible financial assets).</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The Fund assets are invested according to the first alternative (allocation to the Federal Treasury’s accounts with the Bank of Russia) in the following way. According to calculation and transfer procedure of interest payments approved by the Ministry of Finance the Bank of Russia pays interest equivalent to yield of total return indices comprised of financial assets complying with requirements approved by the Government of the Russian Federation.</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u w:val="single"/>
          <w:lang w:val="en-US"/>
        </w:rPr>
        <w:t>NWF assets can be invested in supranational debt securities of following institutions</w:t>
      </w:r>
      <w:r w:rsidRPr="00C40532">
        <w:rPr>
          <w:color w:val="4D4D48"/>
          <w:lang w:val="en-US"/>
        </w:rPr>
        <w:t>:</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Asian Development Bank (ADB);</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Council of Europe Development Bank (CEB);</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European Bank for Reconstruction and Development (EBRD);</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European Investment Bank (EIB);</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Inter-American Development Bank (IADB);</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International Bank for Reconstruction and Development (IBRD);</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International Finance Corporation (IFC);</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Nordic Investment Bank (NIB).</w:t>
      </w:r>
    </w:p>
    <w:p w:rsidR="00472A60" w:rsidRPr="00C40532" w:rsidRDefault="00472A60" w:rsidP="00472A60">
      <w:pPr>
        <w:pStyle w:val="3"/>
        <w:shd w:val="clear" w:color="auto" w:fill="FFFFFF"/>
        <w:spacing w:before="0" w:line="240" w:lineRule="auto"/>
        <w:jc w:val="both"/>
        <w:rPr>
          <w:rFonts w:ascii="Times New Roman" w:hAnsi="Times New Roman" w:cs="Times New Roman"/>
          <w:color w:val="076F2F"/>
          <w:sz w:val="24"/>
          <w:szCs w:val="24"/>
          <w:lang w:val="en-US"/>
        </w:rPr>
      </w:pPr>
      <w:r w:rsidRPr="00C40532">
        <w:rPr>
          <w:rFonts w:ascii="Times New Roman" w:hAnsi="Times New Roman" w:cs="Times New Roman"/>
          <w:color w:val="008000"/>
          <w:sz w:val="24"/>
          <w:szCs w:val="24"/>
          <w:lang w:val="en-US"/>
        </w:rPr>
        <w:t>Volume of the National Wealth Fund</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w:t>
      </w:r>
    </w:p>
    <w:tbl>
      <w:tblPr>
        <w:tblW w:w="12181" w:type="dxa"/>
        <w:jc w:val="center"/>
        <w:tblBorders>
          <w:bottom w:val="single" w:sz="12" w:space="0" w:color="DDDEDF"/>
        </w:tblBorders>
        <w:shd w:val="clear" w:color="auto" w:fill="FFFFFF"/>
        <w:tblCellMar>
          <w:left w:w="0" w:type="dxa"/>
          <w:right w:w="0" w:type="dxa"/>
        </w:tblCellMar>
        <w:tblLook w:val="04A0"/>
      </w:tblPr>
      <w:tblGrid>
        <w:gridCol w:w="2353"/>
        <w:gridCol w:w="3276"/>
        <w:gridCol w:w="3276"/>
        <w:gridCol w:w="3276"/>
      </w:tblGrid>
      <w:tr w:rsidR="00472A60" w:rsidRPr="00C40532" w:rsidTr="000A0C98">
        <w:trPr>
          <w:jc w:val="center"/>
        </w:trPr>
        <w:tc>
          <w:tcPr>
            <w:tcW w:w="0" w:type="auto"/>
            <w:tcBorders>
              <w:top w:val="outset" w:sz="2" w:space="0" w:color="auto"/>
              <w:left w:val="outset" w:sz="2" w:space="0" w:color="auto"/>
              <w:bottom w:val="outset" w:sz="2" w:space="0" w:color="auto"/>
              <w:right w:val="single" w:sz="24" w:space="0" w:color="FFFFFF"/>
            </w:tcBorders>
            <w:shd w:val="clear" w:color="auto" w:fill="82AF7A"/>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FCFCFC"/>
              </w:rPr>
            </w:pPr>
            <w:r w:rsidRPr="00C40532">
              <w:rPr>
                <w:rStyle w:val="a3"/>
                <w:rFonts w:eastAsiaTheme="majorEastAsia"/>
                <w:color w:val="FCFCFC"/>
              </w:rPr>
              <w:t>Date</w:t>
            </w:r>
          </w:p>
        </w:tc>
        <w:tc>
          <w:tcPr>
            <w:tcW w:w="0" w:type="auto"/>
            <w:tcBorders>
              <w:top w:val="outset" w:sz="2" w:space="0" w:color="auto"/>
              <w:left w:val="outset" w:sz="2" w:space="0" w:color="auto"/>
              <w:bottom w:val="outset" w:sz="2" w:space="0" w:color="auto"/>
              <w:right w:val="single" w:sz="24" w:space="0" w:color="FFFFFF"/>
            </w:tcBorders>
            <w:shd w:val="clear" w:color="auto" w:fill="82AF7A"/>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FCFCFC"/>
              </w:rPr>
            </w:pPr>
            <w:r w:rsidRPr="00C40532">
              <w:rPr>
                <w:rStyle w:val="a3"/>
                <w:rFonts w:eastAsiaTheme="majorEastAsia"/>
                <w:color w:val="FCFCFC"/>
              </w:rPr>
              <w:t>in Billion US dollars</w:t>
            </w:r>
          </w:p>
        </w:tc>
        <w:tc>
          <w:tcPr>
            <w:tcW w:w="0" w:type="auto"/>
            <w:tcBorders>
              <w:top w:val="outset" w:sz="2" w:space="0" w:color="auto"/>
              <w:left w:val="outset" w:sz="2" w:space="0" w:color="auto"/>
              <w:bottom w:val="outset" w:sz="2" w:space="0" w:color="auto"/>
              <w:right w:val="single" w:sz="24" w:space="0" w:color="FFFFFF"/>
            </w:tcBorders>
            <w:shd w:val="clear" w:color="auto" w:fill="82AF7A"/>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FCFCFC"/>
              </w:rPr>
            </w:pPr>
            <w:r w:rsidRPr="00C40532">
              <w:rPr>
                <w:rStyle w:val="a3"/>
                <w:rFonts w:eastAsiaTheme="majorEastAsia"/>
                <w:color w:val="FCFCFC"/>
              </w:rPr>
              <w:t>in Billion rubles</w:t>
            </w:r>
          </w:p>
        </w:tc>
        <w:tc>
          <w:tcPr>
            <w:tcW w:w="0" w:type="auto"/>
            <w:tcBorders>
              <w:top w:val="outset" w:sz="2" w:space="0" w:color="auto"/>
              <w:left w:val="outset" w:sz="2" w:space="0" w:color="auto"/>
              <w:bottom w:val="outset" w:sz="2" w:space="0" w:color="auto"/>
              <w:right w:val="single" w:sz="24" w:space="0" w:color="FFFFFF"/>
            </w:tcBorders>
            <w:shd w:val="clear" w:color="auto" w:fill="82AF7A"/>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FCFCFC"/>
              </w:rPr>
            </w:pPr>
            <w:r w:rsidRPr="00C40532">
              <w:rPr>
                <w:rStyle w:val="a3"/>
                <w:rFonts w:eastAsiaTheme="majorEastAsia"/>
                <w:color w:val="FCFCFC"/>
              </w:rPr>
              <w:t>as Percentages of GDP*</w:t>
            </w:r>
          </w:p>
        </w:tc>
      </w:tr>
      <w:tr w:rsidR="00472A60" w:rsidRPr="00C40532" w:rsidTr="000A0C98">
        <w:trPr>
          <w:jc w:val="center"/>
        </w:trPr>
        <w:tc>
          <w:tcPr>
            <w:tcW w:w="1731"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01.03.2017</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72,60</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4 206,38</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4,8%</w:t>
            </w:r>
          </w:p>
        </w:tc>
      </w:tr>
      <w:tr w:rsidR="00472A60" w:rsidRPr="00C40532" w:rsidTr="000A0C98">
        <w:trPr>
          <w:jc w:val="center"/>
        </w:trPr>
        <w:tc>
          <w:tcPr>
            <w:tcW w:w="1731"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01.02.2017</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72,46</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4 359,30</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5,0%</w:t>
            </w:r>
          </w:p>
        </w:tc>
      </w:tr>
      <w:tr w:rsidR="00472A60" w:rsidRPr="00C40532" w:rsidTr="000A0C98">
        <w:trPr>
          <w:jc w:val="center"/>
        </w:trPr>
        <w:tc>
          <w:tcPr>
            <w:tcW w:w="1731"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01.01.2017</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71,87</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4 359,16</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5,0%</w:t>
            </w:r>
          </w:p>
        </w:tc>
      </w:tr>
      <w:tr w:rsidR="00472A60" w:rsidRPr="00C40532" w:rsidTr="000A0C98">
        <w:trPr>
          <w:jc w:val="center"/>
        </w:trPr>
        <w:tc>
          <w:tcPr>
            <w:tcW w:w="1731"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01.12.2016</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71,26</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4 628,09</w:t>
            </w:r>
          </w:p>
        </w:tc>
        <w:tc>
          <w:tcPr>
            <w:tcW w:w="2410"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color w:val="4D4D48"/>
              </w:rPr>
              <w:t>5,4%</w:t>
            </w:r>
          </w:p>
        </w:tc>
      </w:tr>
    </w:tbl>
    <w:p w:rsidR="00472A60" w:rsidRPr="00C40532" w:rsidRDefault="00472A60" w:rsidP="00472A60">
      <w:pPr>
        <w:spacing w:after="0" w:line="240" w:lineRule="auto"/>
        <w:jc w:val="both"/>
        <w:rPr>
          <w:rFonts w:ascii="Times New Roman" w:hAnsi="Times New Roman" w:cs="Times New Roman"/>
          <w:sz w:val="24"/>
          <w:szCs w:val="24"/>
        </w:rPr>
      </w:pPr>
    </w:p>
    <w:p w:rsidR="00472A60" w:rsidRPr="00C40532" w:rsidRDefault="00472A60" w:rsidP="00472A60">
      <w:pPr>
        <w:spacing w:after="0" w:line="240" w:lineRule="auto"/>
        <w:jc w:val="both"/>
        <w:rPr>
          <w:rFonts w:ascii="Times New Roman" w:hAnsi="Times New Roman" w:cs="Times New Roman"/>
          <w:sz w:val="24"/>
          <w:szCs w:val="24"/>
        </w:rPr>
      </w:pP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Style w:val="hps"/>
          <w:rFonts w:ascii="Times New Roman" w:hAnsi="Times New Roman" w:cs="Times New Roman"/>
          <w:b/>
          <w:sz w:val="24"/>
          <w:szCs w:val="24"/>
          <w:lang w:val="en-US"/>
        </w:rPr>
      </w:pPr>
      <w:r w:rsidRPr="00C40532">
        <w:rPr>
          <w:rFonts w:ascii="Times New Roman" w:hAnsi="Times New Roman" w:cs="Times New Roman"/>
          <w:b/>
          <w:sz w:val="24"/>
          <w:szCs w:val="24"/>
          <w:lang w:val="en-US"/>
        </w:rPr>
        <w:lastRenderedPageBreak/>
        <w:tab/>
      </w:r>
      <w:r w:rsidRPr="00C40532">
        <w:rPr>
          <w:rStyle w:val="hps"/>
          <w:rFonts w:ascii="Times New Roman" w:hAnsi="Times New Roman" w:cs="Times New Roman"/>
          <w:sz w:val="24"/>
          <w:szCs w:val="24"/>
          <w:lang w:val="en-US"/>
        </w:rPr>
        <w:t>3.</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Extra-budgetary funds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 their role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the financial system</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Public credit</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and public debt</w:t>
      </w:r>
      <w:r w:rsidRPr="00C40532">
        <w:rPr>
          <w:rFonts w:ascii="Times New Roman" w:hAnsi="Times New Roman" w:cs="Times New Roman"/>
          <w:b/>
          <w:sz w:val="24"/>
          <w:szCs w:val="24"/>
          <w:lang w:val="en-US"/>
        </w:rPr>
        <w:t>.</w:t>
      </w:r>
      <w:proofErr w:type="gramEnd"/>
      <w:r w:rsidRPr="00C40532">
        <w:rPr>
          <w:rStyle w:val="hps"/>
          <w:rFonts w:ascii="Times New Roman" w:hAnsi="Times New Roman" w:cs="Times New Roman"/>
          <w:sz w:val="24"/>
          <w:szCs w:val="24"/>
          <w:lang w:val="en-US"/>
        </w:rPr>
        <w:t xml:space="preserve"> </w:t>
      </w:r>
    </w:p>
    <w:p w:rsidR="00472A60" w:rsidRPr="00C40532" w:rsidRDefault="00472A60" w:rsidP="00472A60">
      <w:pPr>
        <w:tabs>
          <w:tab w:val="left" w:pos="898"/>
        </w:tabs>
        <w:spacing w:after="0" w:line="240" w:lineRule="auto"/>
        <w:jc w:val="both"/>
        <w:rPr>
          <w:rFonts w:ascii="Times New Roman" w:hAnsi="Times New Roman" w:cs="Times New Roman"/>
          <w:sz w:val="24"/>
          <w:szCs w:val="24"/>
          <w:lang w:val="en-US"/>
        </w:rPr>
      </w:pPr>
    </w:p>
    <w:p w:rsidR="00472A60" w:rsidRPr="00C40532" w:rsidRDefault="00472A60" w:rsidP="00472A60">
      <w:pPr>
        <w:pStyle w:val="a6"/>
        <w:shd w:val="clear" w:color="auto" w:fill="FFFFFF"/>
        <w:spacing w:before="0" w:beforeAutospacing="0" w:after="0" w:afterAutospacing="0"/>
        <w:jc w:val="both"/>
        <w:rPr>
          <w:color w:val="555555"/>
          <w:lang w:val="en-US"/>
        </w:rPr>
      </w:pPr>
      <w:r w:rsidRPr="00C40532">
        <w:rPr>
          <w:color w:val="555555"/>
          <w:lang w:val="en-US"/>
        </w:rPr>
        <w:t>The Russian extra-budgetary funds are designated for implementation of constitutional rights of the Russian citizens for</w:t>
      </w:r>
      <w:r w:rsidRPr="00C40532">
        <w:rPr>
          <w:rStyle w:val="apple-converted-space"/>
          <w:color w:val="555555"/>
          <w:lang w:val="en-US"/>
        </w:rPr>
        <w:t> </w:t>
      </w:r>
      <w:r w:rsidRPr="00C40532">
        <w:rPr>
          <w:b/>
          <w:bCs/>
          <w:color w:val="6E6E6E"/>
          <w:lang w:val="en-US"/>
        </w:rPr>
        <w:t>pensions’ provision</w:t>
      </w:r>
      <w:r w:rsidRPr="00C40532">
        <w:rPr>
          <w:color w:val="555555"/>
          <w:lang w:val="en-US"/>
        </w:rPr>
        <w:t>,</w:t>
      </w:r>
      <w:r w:rsidRPr="00C40532">
        <w:rPr>
          <w:rStyle w:val="apple-converted-space"/>
          <w:color w:val="555555"/>
          <w:lang w:val="en-US"/>
        </w:rPr>
        <w:t> </w:t>
      </w:r>
      <w:r w:rsidRPr="00C40532">
        <w:rPr>
          <w:b/>
          <w:bCs/>
          <w:color w:val="6E6E6E"/>
          <w:lang w:val="en-US"/>
        </w:rPr>
        <w:t>social security</w:t>
      </w:r>
      <w:r w:rsidRPr="00C40532">
        <w:rPr>
          <w:rStyle w:val="apple-converted-space"/>
          <w:b/>
          <w:bCs/>
          <w:color w:val="6E6E6E"/>
          <w:lang w:val="en-US"/>
        </w:rPr>
        <w:t> </w:t>
      </w:r>
      <w:r w:rsidRPr="00C40532">
        <w:rPr>
          <w:color w:val="555555"/>
          <w:lang w:val="en-US"/>
        </w:rPr>
        <w:t>and</w:t>
      </w:r>
      <w:r w:rsidRPr="00C40532">
        <w:rPr>
          <w:rStyle w:val="apple-converted-space"/>
          <w:color w:val="555555"/>
          <w:lang w:val="en-US"/>
        </w:rPr>
        <w:t> </w:t>
      </w:r>
      <w:r w:rsidRPr="00C40532">
        <w:rPr>
          <w:b/>
          <w:bCs/>
          <w:color w:val="6E6E6E"/>
          <w:lang w:val="en-US"/>
        </w:rPr>
        <w:t>healthcare services</w:t>
      </w:r>
      <w:r w:rsidRPr="00C40532">
        <w:rPr>
          <w:color w:val="555555"/>
          <w:lang w:val="en-US"/>
        </w:rPr>
        <w:t>.</w:t>
      </w:r>
    </w:p>
    <w:p w:rsidR="00472A60" w:rsidRPr="00C40532" w:rsidRDefault="00472A60" w:rsidP="00472A60">
      <w:pPr>
        <w:pStyle w:val="a6"/>
        <w:shd w:val="clear" w:color="auto" w:fill="FFFFFF"/>
        <w:spacing w:before="0" w:beforeAutospacing="0" w:after="0" w:afterAutospacing="0"/>
        <w:jc w:val="both"/>
        <w:rPr>
          <w:color w:val="555555"/>
          <w:lang w:val="en-US"/>
        </w:rPr>
      </w:pPr>
      <w:r w:rsidRPr="00C40532">
        <w:rPr>
          <w:color w:val="555555"/>
          <w:lang w:val="en-US"/>
        </w:rPr>
        <w:t>The</w:t>
      </w:r>
      <w:r w:rsidRPr="00C40532">
        <w:rPr>
          <w:rStyle w:val="apple-converted-space"/>
          <w:color w:val="555555"/>
          <w:lang w:val="en-US"/>
        </w:rPr>
        <w:t> </w:t>
      </w:r>
      <w:r w:rsidRPr="00C40532">
        <w:rPr>
          <w:b/>
          <w:bCs/>
          <w:color w:val="6E6E6E"/>
          <w:lang w:val="en-US"/>
        </w:rPr>
        <w:t>list of the Russian extra-budgetary funds</w:t>
      </w:r>
      <w:r w:rsidRPr="00C40532">
        <w:rPr>
          <w:rStyle w:val="apple-converted-space"/>
          <w:b/>
          <w:bCs/>
          <w:color w:val="6E6E6E"/>
          <w:lang w:val="en-US"/>
        </w:rPr>
        <w:t> </w:t>
      </w:r>
      <w:r w:rsidRPr="00C40532">
        <w:rPr>
          <w:color w:val="555555"/>
          <w:lang w:val="en-US"/>
        </w:rPr>
        <w:t xml:space="preserve">is specified in Article 144 of the Russian Budgetary </w:t>
      </w:r>
      <w:proofErr w:type="gramStart"/>
      <w:r w:rsidRPr="00C40532">
        <w:rPr>
          <w:color w:val="555555"/>
          <w:lang w:val="en-US"/>
        </w:rPr>
        <w:t>Code</w:t>
      </w:r>
      <w:proofErr w:type="gramEnd"/>
      <w:r w:rsidR="00AA3725">
        <w:fldChar w:fldCharType="begin"/>
      </w:r>
      <w:r w:rsidR="00004B32" w:rsidRPr="008B4EEF">
        <w:rPr>
          <w:lang w:val="en-US"/>
        </w:rPr>
        <w:instrText>HYPERLINK "http://www.factosphere.com/pubfinance/budget/sources" \l "31" \o "Source: ConsultantPlus Date: 31.7.1998"</w:instrText>
      </w:r>
      <w:r w:rsidR="00AA3725">
        <w:fldChar w:fldCharType="separate"/>
      </w:r>
      <w:r w:rsidRPr="00C40532">
        <w:rPr>
          <w:rStyle w:val="a5"/>
          <w:color w:val="408080"/>
          <w:vertAlign w:val="superscript"/>
          <w:lang w:val="en-US"/>
        </w:rPr>
        <w:t>[31]</w:t>
      </w:r>
      <w:r w:rsidR="00AA3725">
        <w:fldChar w:fldCharType="end"/>
      </w:r>
      <w:r w:rsidRPr="00C40532">
        <w:rPr>
          <w:rStyle w:val="apple-converted-space"/>
          <w:color w:val="555555"/>
          <w:lang w:val="en-US"/>
        </w:rPr>
        <w:t> </w:t>
      </w:r>
      <w:r w:rsidRPr="00C40532">
        <w:rPr>
          <w:color w:val="555555"/>
          <w:lang w:val="en-US"/>
        </w:rPr>
        <w:t>and comprises the following funds:</w:t>
      </w:r>
    </w:p>
    <w:p w:rsidR="00472A60" w:rsidRPr="00C40532" w:rsidRDefault="00472A60" w:rsidP="00472A60">
      <w:pPr>
        <w:numPr>
          <w:ilvl w:val="0"/>
          <w:numId w:val="26"/>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b/>
          <w:bCs/>
          <w:color w:val="6E6E6E"/>
          <w:sz w:val="24"/>
          <w:szCs w:val="24"/>
          <w:lang w:val="en-US"/>
        </w:rPr>
        <w:t>Pension Fund of the Russian Federation</w:t>
      </w:r>
      <w:r w:rsidRPr="00C40532">
        <w:rPr>
          <w:rStyle w:val="apple-converted-space"/>
          <w:rFonts w:ascii="Times New Roman" w:hAnsi="Times New Roman" w:cs="Times New Roman"/>
          <w:b/>
          <w:bCs/>
          <w:color w:val="6E6E6E"/>
          <w:sz w:val="24"/>
          <w:szCs w:val="24"/>
          <w:lang w:val="en-US"/>
        </w:rPr>
        <w:t> </w:t>
      </w:r>
      <w:r w:rsidRPr="00C40532">
        <w:rPr>
          <w:rFonts w:ascii="Times New Roman" w:hAnsi="Times New Roman" w:cs="Times New Roman"/>
          <w:color w:val="6E6E6E"/>
          <w:sz w:val="24"/>
          <w:szCs w:val="24"/>
          <w:lang w:val="en-US"/>
        </w:rPr>
        <w:t>(federal level fund);</w:t>
      </w:r>
    </w:p>
    <w:p w:rsidR="00472A60" w:rsidRPr="00C40532" w:rsidRDefault="00472A60" w:rsidP="00472A60">
      <w:pPr>
        <w:numPr>
          <w:ilvl w:val="0"/>
          <w:numId w:val="26"/>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b/>
          <w:bCs/>
          <w:color w:val="6E6E6E"/>
          <w:sz w:val="24"/>
          <w:szCs w:val="24"/>
          <w:lang w:val="en-US"/>
        </w:rPr>
        <w:t>Social Insurance Fund of the Russian Federation</w:t>
      </w:r>
      <w:r w:rsidRPr="00C40532">
        <w:rPr>
          <w:rStyle w:val="apple-converted-space"/>
          <w:rFonts w:ascii="Times New Roman" w:hAnsi="Times New Roman" w:cs="Times New Roman"/>
          <w:b/>
          <w:bCs/>
          <w:color w:val="6E6E6E"/>
          <w:sz w:val="24"/>
          <w:szCs w:val="24"/>
          <w:lang w:val="en-US"/>
        </w:rPr>
        <w:t> </w:t>
      </w:r>
      <w:r w:rsidRPr="00C40532">
        <w:rPr>
          <w:rFonts w:ascii="Times New Roman" w:hAnsi="Times New Roman" w:cs="Times New Roman"/>
          <w:color w:val="6E6E6E"/>
          <w:sz w:val="24"/>
          <w:szCs w:val="24"/>
          <w:lang w:val="en-US"/>
        </w:rPr>
        <w:t>(federal level fund);</w:t>
      </w:r>
    </w:p>
    <w:p w:rsidR="00472A60" w:rsidRPr="00C40532" w:rsidRDefault="00472A60" w:rsidP="00472A60">
      <w:pPr>
        <w:numPr>
          <w:ilvl w:val="0"/>
          <w:numId w:val="26"/>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b/>
          <w:bCs/>
          <w:color w:val="6E6E6E"/>
          <w:sz w:val="24"/>
          <w:szCs w:val="24"/>
          <w:lang w:val="en-US"/>
        </w:rPr>
        <w:t>Federal Compulsory Medical Insurance Fund</w:t>
      </w:r>
      <w:r w:rsidRPr="00C40532">
        <w:rPr>
          <w:rStyle w:val="apple-converted-space"/>
          <w:rFonts w:ascii="Times New Roman" w:hAnsi="Times New Roman" w:cs="Times New Roman"/>
          <w:b/>
          <w:bCs/>
          <w:color w:val="6E6E6E"/>
          <w:sz w:val="24"/>
          <w:szCs w:val="24"/>
          <w:lang w:val="en-US"/>
        </w:rPr>
        <w:t> </w:t>
      </w:r>
      <w:r w:rsidRPr="00C40532">
        <w:rPr>
          <w:rFonts w:ascii="Times New Roman" w:hAnsi="Times New Roman" w:cs="Times New Roman"/>
          <w:color w:val="6E6E6E"/>
          <w:sz w:val="24"/>
          <w:szCs w:val="24"/>
          <w:lang w:val="en-US"/>
        </w:rPr>
        <w:t>(federal level fund);</w:t>
      </w:r>
    </w:p>
    <w:p w:rsidR="00472A60" w:rsidRPr="00C40532" w:rsidRDefault="00472A60" w:rsidP="00472A60">
      <w:pPr>
        <w:numPr>
          <w:ilvl w:val="0"/>
          <w:numId w:val="26"/>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b/>
          <w:bCs/>
          <w:color w:val="6E6E6E"/>
          <w:sz w:val="24"/>
          <w:szCs w:val="24"/>
          <w:lang w:val="en-US"/>
        </w:rPr>
        <w:t>Territorial Funds of Compulsory Medical Insurance</w:t>
      </w:r>
      <w:r w:rsidRPr="00C40532">
        <w:rPr>
          <w:rStyle w:val="apple-converted-space"/>
          <w:rFonts w:ascii="Times New Roman" w:hAnsi="Times New Roman" w:cs="Times New Roman"/>
          <w:b/>
          <w:bCs/>
          <w:color w:val="6E6E6E"/>
          <w:sz w:val="24"/>
          <w:szCs w:val="24"/>
          <w:lang w:val="en-US"/>
        </w:rPr>
        <w:t> </w:t>
      </w:r>
      <w:r w:rsidRPr="00C40532">
        <w:rPr>
          <w:rFonts w:ascii="Times New Roman" w:hAnsi="Times New Roman" w:cs="Times New Roman"/>
          <w:color w:val="6E6E6E"/>
          <w:sz w:val="24"/>
          <w:szCs w:val="24"/>
          <w:lang w:val="en-US"/>
        </w:rPr>
        <w:t>(regional level funds);</w:t>
      </w:r>
    </w:p>
    <w:p w:rsidR="00472A60" w:rsidRPr="00C40532" w:rsidRDefault="00472A60" w:rsidP="00472A60">
      <w:pPr>
        <w:pStyle w:val="a6"/>
        <w:shd w:val="clear" w:color="auto" w:fill="FFFFFF"/>
        <w:spacing w:before="0" w:beforeAutospacing="0" w:after="0" w:afterAutospacing="0"/>
        <w:jc w:val="both"/>
        <w:rPr>
          <w:color w:val="555555"/>
          <w:lang w:val="en-US"/>
        </w:rPr>
      </w:pPr>
      <w:r w:rsidRPr="00C40532">
        <w:rPr>
          <w:color w:val="555555"/>
          <w:lang w:val="en-US"/>
        </w:rPr>
        <w:t>All possible</w:t>
      </w:r>
      <w:r w:rsidRPr="00C40532">
        <w:rPr>
          <w:rStyle w:val="apple-converted-space"/>
          <w:color w:val="555555"/>
          <w:lang w:val="en-US"/>
        </w:rPr>
        <w:t> </w:t>
      </w:r>
      <w:r w:rsidRPr="00C40532">
        <w:rPr>
          <w:b/>
          <w:bCs/>
          <w:color w:val="6E6E6E"/>
          <w:lang w:val="en-US"/>
        </w:rPr>
        <w:t>sources of revenues</w:t>
      </w:r>
      <w:r w:rsidRPr="00C40532">
        <w:rPr>
          <w:rStyle w:val="apple-converted-space"/>
          <w:b/>
          <w:bCs/>
          <w:color w:val="6E6E6E"/>
          <w:lang w:val="en-US"/>
        </w:rPr>
        <w:t> </w:t>
      </w:r>
      <w:r w:rsidRPr="00C40532">
        <w:rPr>
          <w:color w:val="555555"/>
          <w:lang w:val="en-US"/>
        </w:rPr>
        <w:t>of the budgets of mentioned extra-budgetary funds are provided by Article 146 of the Russian Budgetary Code.</w:t>
      </w:r>
    </w:p>
    <w:p w:rsidR="00472A60" w:rsidRPr="00C40532" w:rsidRDefault="00472A60" w:rsidP="00472A60">
      <w:pPr>
        <w:pStyle w:val="a6"/>
        <w:shd w:val="clear" w:color="auto" w:fill="FFFFFF"/>
        <w:spacing w:before="0" w:beforeAutospacing="0" w:after="0" w:afterAutospacing="0"/>
        <w:jc w:val="both"/>
        <w:rPr>
          <w:color w:val="555555"/>
          <w:lang w:val="en-US"/>
        </w:rPr>
      </w:pPr>
      <w:r w:rsidRPr="00C40532">
        <w:rPr>
          <w:color w:val="555555"/>
          <w:lang w:val="en-US"/>
        </w:rPr>
        <w:t>The primary source of revenues are so-called “</w:t>
      </w:r>
      <w:r w:rsidRPr="00C40532">
        <w:rPr>
          <w:b/>
          <w:bCs/>
          <w:color w:val="6E6E6E"/>
          <w:lang w:val="en-US"/>
        </w:rPr>
        <w:t>insurance payments</w:t>
      </w:r>
      <w:r w:rsidRPr="00C40532">
        <w:rPr>
          <w:color w:val="555555"/>
          <w:lang w:val="en-US"/>
        </w:rPr>
        <w:t xml:space="preserve">” (plural: strakhovie vznosy, </w:t>
      </w:r>
      <w:r w:rsidRPr="00C40532">
        <w:rPr>
          <w:color w:val="555555"/>
        </w:rPr>
        <w:t>страховые</w:t>
      </w:r>
      <w:r w:rsidRPr="00C40532">
        <w:rPr>
          <w:color w:val="555555"/>
          <w:lang w:val="en-US"/>
        </w:rPr>
        <w:t xml:space="preserve"> </w:t>
      </w:r>
      <w:r w:rsidRPr="00C40532">
        <w:rPr>
          <w:color w:val="555555"/>
        </w:rPr>
        <w:t>взносы</w:t>
      </w:r>
      <w:r w:rsidRPr="00C40532">
        <w:rPr>
          <w:color w:val="555555"/>
          <w:lang w:val="en-US"/>
        </w:rPr>
        <w:t>) that are</w:t>
      </w:r>
      <w:r w:rsidRPr="00C40532">
        <w:rPr>
          <w:rStyle w:val="apple-converted-space"/>
          <w:color w:val="555555"/>
          <w:lang w:val="en-US"/>
        </w:rPr>
        <w:t> </w:t>
      </w:r>
      <w:r w:rsidRPr="00C40532">
        <w:rPr>
          <w:b/>
          <w:bCs/>
          <w:color w:val="6E6E6E"/>
          <w:lang w:val="en-US"/>
        </w:rPr>
        <w:t>made on compulsory basis by the Russian employers</w:t>
      </w:r>
      <w:r w:rsidRPr="00C40532">
        <w:rPr>
          <w:rStyle w:val="apple-converted-space"/>
          <w:b/>
          <w:bCs/>
          <w:color w:val="6E6E6E"/>
          <w:lang w:val="en-US"/>
        </w:rPr>
        <w:t> </w:t>
      </w:r>
      <w:r w:rsidRPr="00C40532">
        <w:rPr>
          <w:color w:val="555555"/>
          <w:lang w:val="en-US"/>
        </w:rPr>
        <w:t>and are calculated typically as a</w:t>
      </w:r>
      <w:r w:rsidRPr="00C40532">
        <w:rPr>
          <w:rStyle w:val="apple-converted-space"/>
          <w:color w:val="555555"/>
          <w:lang w:val="en-US"/>
        </w:rPr>
        <w:t> </w:t>
      </w:r>
      <w:r w:rsidRPr="00C40532">
        <w:rPr>
          <w:b/>
          <w:bCs/>
          <w:color w:val="6E6E6E"/>
          <w:lang w:val="en-US"/>
        </w:rPr>
        <w:t>percentage of aggregate remuneration paid by employers to employees</w:t>
      </w:r>
      <w:r w:rsidRPr="00C40532">
        <w:rPr>
          <w:rStyle w:val="apple-converted-space"/>
          <w:b/>
          <w:bCs/>
          <w:color w:val="6E6E6E"/>
          <w:lang w:val="en-US"/>
        </w:rPr>
        <w:t> </w:t>
      </w:r>
      <w:r w:rsidRPr="00C40532">
        <w:rPr>
          <w:color w:val="555555"/>
          <w:lang w:val="en-US"/>
        </w:rPr>
        <w:t>(in most cases this refers to the size of salary fund).</w:t>
      </w:r>
    </w:p>
    <w:p w:rsidR="00472A60" w:rsidRPr="00C40532" w:rsidRDefault="00472A60" w:rsidP="00472A60">
      <w:pPr>
        <w:pStyle w:val="a6"/>
        <w:shd w:val="clear" w:color="auto" w:fill="FFFFFF"/>
        <w:spacing w:before="0" w:beforeAutospacing="0" w:after="0" w:afterAutospacing="0"/>
        <w:jc w:val="both"/>
        <w:rPr>
          <w:color w:val="555555"/>
          <w:lang w:val="en-US"/>
        </w:rPr>
      </w:pPr>
      <w:r w:rsidRPr="00C40532">
        <w:rPr>
          <w:color w:val="555555"/>
          <w:lang w:val="en-US"/>
        </w:rPr>
        <w:t>As of 2016, the most part of employers had to pay about</w:t>
      </w:r>
      <w:r w:rsidRPr="00C40532">
        <w:rPr>
          <w:rStyle w:val="apple-converted-space"/>
          <w:color w:val="555555"/>
          <w:lang w:val="en-US"/>
        </w:rPr>
        <w:t> </w:t>
      </w:r>
      <w:r w:rsidRPr="00C40532">
        <w:rPr>
          <w:b/>
          <w:bCs/>
          <w:color w:val="6E6E6E"/>
          <w:lang w:val="en-US"/>
        </w:rPr>
        <w:t>30% of their salary fund</w:t>
      </w:r>
      <w:r w:rsidRPr="00C40532">
        <w:rPr>
          <w:rStyle w:val="apple-converted-space"/>
          <w:b/>
          <w:bCs/>
          <w:color w:val="6E6E6E"/>
          <w:lang w:val="en-US"/>
        </w:rPr>
        <w:t> </w:t>
      </w:r>
      <w:r w:rsidRPr="00C40532">
        <w:rPr>
          <w:color w:val="555555"/>
          <w:lang w:val="en-US"/>
        </w:rPr>
        <w:t>to the three mentioned federal extra-budgetary funds.</w:t>
      </w:r>
    </w:p>
    <w:p w:rsidR="00472A60" w:rsidRPr="00C40532" w:rsidRDefault="00472A60" w:rsidP="00472A60">
      <w:pPr>
        <w:pStyle w:val="3"/>
        <w:shd w:val="clear" w:color="auto" w:fill="FFFFFF"/>
        <w:spacing w:before="0" w:line="240" w:lineRule="auto"/>
        <w:jc w:val="both"/>
        <w:rPr>
          <w:rFonts w:ascii="Times New Roman" w:hAnsi="Times New Roman" w:cs="Times New Roman"/>
          <w:color w:val="076F2F"/>
          <w:sz w:val="24"/>
          <w:szCs w:val="24"/>
          <w:lang w:val="en-US"/>
        </w:rPr>
      </w:pPr>
      <w:r w:rsidRPr="00C40532">
        <w:rPr>
          <w:rFonts w:ascii="Times New Roman" w:hAnsi="Times New Roman" w:cs="Times New Roman"/>
          <w:color w:val="008000"/>
          <w:sz w:val="24"/>
          <w:szCs w:val="24"/>
          <w:lang w:val="en-US"/>
        </w:rPr>
        <w:t xml:space="preserve"> Annual report on the extra-budgetary funds execution (starting from January 1, 2011)</w:t>
      </w:r>
    </w:p>
    <w:p w:rsidR="00472A60" w:rsidRPr="00C40532" w:rsidRDefault="00472A60" w:rsidP="00472A60">
      <w:pPr>
        <w:pStyle w:val="a6"/>
        <w:shd w:val="clear" w:color="auto" w:fill="FFFFFF"/>
        <w:spacing w:before="0" w:beforeAutospacing="0" w:after="0" w:afterAutospacing="0"/>
        <w:jc w:val="both"/>
        <w:rPr>
          <w:color w:val="4D4D48"/>
          <w:lang w:val="en-US"/>
        </w:rPr>
      </w:pPr>
      <w:r w:rsidRPr="00C40532">
        <w:rPr>
          <w:color w:val="4D4D48"/>
          <w:lang w:val="en-US"/>
        </w:rPr>
        <w:t> </w:t>
      </w:r>
    </w:p>
    <w:tbl>
      <w:tblPr>
        <w:tblW w:w="12181" w:type="dxa"/>
        <w:tblBorders>
          <w:bottom w:val="single" w:sz="12" w:space="0" w:color="DDDEDF"/>
        </w:tblBorders>
        <w:shd w:val="clear" w:color="auto" w:fill="FFFFFF"/>
        <w:tblCellMar>
          <w:left w:w="0" w:type="dxa"/>
          <w:right w:w="0" w:type="dxa"/>
        </w:tblCellMar>
        <w:tblLook w:val="04A0"/>
      </w:tblPr>
      <w:tblGrid>
        <w:gridCol w:w="999"/>
        <w:gridCol w:w="5036"/>
        <w:gridCol w:w="1065"/>
        <w:gridCol w:w="1065"/>
        <w:gridCol w:w="1065"/>
        <w:gridCol w:w="1065"/>
        <w:gridCol w:w="943"/>
        <w:gridCol w:w="943"/>
      </w:tblGrid>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rStyle w:val="a3"/>
                <w:rFonts w:eastAsiaTheme="majorEastAsia"/>
                <w:color w:val="4D4D48"/>
              </w:rPr>
              <w:t>No/No</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rStyle w:val="a3"/>
                <w:rFonts w:eastAsiaTheme="majorEastAsia"/>
                <w:color w:val="4D4D48"/>
              </w:rPr>
              <w:t>Indicator</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rStyle w:val="a3"/>
                <w:rFonts w:eastAsiaTheme="majorEastAsia"/>
                <w:color w:val="4D4D48"/>
              </w:rPr>
              <w:t>2011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rStyle w:val="a3"/>
                <w:rFonts w:eastAsiaTheme="majorEastAsia"/>
                <w:color w:val="4D4D48"/>
              </w:rPr>
              <w:t>2012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rStyle w:val="a3"/>
                <w:rFonts w:eastAsiaTheme="majorEastAsia"/>
                <w:color w:val="4D4D48"/>
              </w:rPr>
              <w:t>2013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rStyle w:val="a3"/>
                <w:rFonts w:eastAsiaTheme="majorEastAsia"/>
                <w:color w:val="4D4D48"/>
              </w:rPr>
              <w:t>2014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rStyle w:val="a3"/>
                <w:rFonts w:eastAsiaTheme="majorEastAsia"/>
                <w:color w:val="4D4D48"/>
              </w:rPr>
              <w:t>2015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pStyle w:val="a6"/>
              <w:spacing w:before="0" w:beforeAutospacing="0" w:after="0" w:afterAutospacing="0"/>
              <w:jc w:val="both"/>
              <w:rPr>
                <w:color w:val="4D4D48"/>
              </w:rPr>
            </w:pPr>
            <w:r w:rsidRPr="00C40532">
              <w:rPr>
                <w:rStyle w:val="a3"/>
                <w:rFonts w:eastAsiaTheme="majorEastAsia"/>
                <w:color w:val="4D4D48"/>
              </w:rPr>
              <w:t>2016</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State extra-budgetary funds</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Revenues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5 819.6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7 487.7</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8 093.2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7 979.4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9 241.5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9 464,4</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1.1.1.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social contributions</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3 307.4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4 379.1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5 026.1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5 438.8</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5 947.5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6 039,0</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Expenditure</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5 387.0</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6 914.6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7 993.5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8 005.0</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9 921.2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9 649,8</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Deficit (-) / surplus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432.6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573.1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99.7</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-25.5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-679.8</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-185,4</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including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r>
      <w:tr w:rsidR="00472A60" w:rsidRPr="003E0431"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Pension Fund of the Russian Federation</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Revenues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5 255.6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5 890.4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6 388.4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6 159.1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7 126.6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7 625,2</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2.1.1.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social contributions</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2 823.7</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3 038.5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3 478.8</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3 711.8</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3 878.7</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4 144,4</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Expenditure</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4 922.1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5 451.2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6 378.5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6 190.1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7 670.3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7 829,7</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lastRenderedPageBreak/>
              <w:t>2.3.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Deficit (-) / surplus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333.5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439.1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9.8</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-31.1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-543.6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-204,4</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Federal  Medical Insurance Fund</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Revenues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348.4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966.5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1 101.4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1 250.5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1 573.5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1 657,6</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3.1.1.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social contributions</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326.6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914.0</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1 073.1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1 218.4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1 537.6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1 624,2</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Expenditure</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310.4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932.2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1 048.7</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1 268.7</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1 638.8</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1 590,2</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Deficit (-) / surplus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38.0</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34.4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52.6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-18.1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-65.3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67,5</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 </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Social Insurance Fund of the Russian Federation</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Revenues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215.5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630.8</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603.5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569.8</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541.3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181,5</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4.1.1.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social contributions</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157.0</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426.7</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474.2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508.5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531.1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270,3</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Expenditure</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154.5</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531.2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566.2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546.2</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612.1</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230,0</w:t>
            </w:r>
          </w:p>
        </w:tc>
      </w:tr>
      <w:tr w:rsidR="00472A60" w:rsidRPr="00C40532" w:rsidTr="000A0C98">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Deficit (-) / surplus (+)</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61.0</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99.6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37.3</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23.6</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-70.9</w:t>
            </w:r>
          </w:p>
        </w:tc>
        <w:tc>
          <w:tcPr>
            <w:tcW w:w="0" w:type="auto"/>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rPr>
            </w:pPr>
            <w:r w:rsidRPr="00C40532">
              <w:rPr>
                <w:rFonts w:ascii="Times New Roman" w:hAnsi="Times New Roman" w:cs="Times New Roman"/>
                <w:color w:val="4D4D48"/>
                <w:sz w:val="24"/>
                <w:szCs w:val="24"/>
              </w:rPr>
              <w:t>-48,5</w:t>
            </w:r>
          </w:p>
        </w:tc>
      </w:tr>
      <w:tr w:rsidR="00472A60" w:rsidRPr="003E0431" w:rsidTr="000A0C98">
        <w:tc>
          <w:tcPr>
            <w:tcW w:w="0" w:type="auto"/>
            <w:gridSpan w:val="8"/>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72A60" w:rsidRPr="00C40532" w:rsidRDefault="00472A60" w:rsidP="000A0C98">
            <w:pPr>
              <w:spacing w:after="0" w:line="240" w:lineRule="auto"/>
              <w:jc w:val="both"/>
              <w:rPr>
                <w:rFonts w:ascii="Times New Roman" w:hAnsi="Times New Roman" w:cs="Times New Roman"/>
                <w:color w:val="4D4D48"/>
                <w:sz w:val="24"/>
                <w:szCs w:val="24"/>
                <w:lang w:val="en-US"/>
              </w:rPr>
            </w:pPr>
            <w:r w:rsidRPr="00C40532">
              <w:rPr>
                <w:rFonts w:ascii="Times New Roman" w:hAnsi="Times New Roman" w:cs="Times New Roman"/>
                <w:color w:val="4D4D48"/>
                <w:sz w:val="24"/>
                <w:szCs w:val="24"/>
                <w:lang w:val="en-US"/>
              </w:rPr>
              <w:t>*** Preliminary information, excluding information on contributions for statutory short-term disability insurance and maternity</w:t>
            </w:r>
          </w:p>
        </w:tc>
      </w:tr>
    </w:tbl>
    <w:p w:rsidR="00472A60" w:rsidRPr="00C40532" w:rsidRDefault="00472A60" w:rsidP="00472A60">
      <w:pPr>
        <w:spacing w:after="0" w:line="240" w:lineRule="auto"/>
        <w:ind w:firstLine="708"/>
        <w:jc w:val="both"/>
        <w:rPr>
          <w:rFonts w:ascii="Times New Roman" w:hAnsi="Times New Roman" w:cs="Times New Roman"/>
          <w:sz w:val="24"/>
          <w:szCs w:val="24"/>
          <w:lang w:val="en-US"/>
        </w:rPr>
      </w:pPr>
    </w:p>
    <w:p w:rsidR="00472A60" w:rsidRPr="00C40532" w:rsidRDefault="00472A60" w:rsidP="00472A60">
      <w:pPr>
        <w:spacing w:after="0" w:line="240" w:lineRule="auto"/>
        <w:ind w:firstLine="708"/>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b/>
          <w:bCs/>
          <w:color w:val="6E6E6E"/>
          <w:sz w:val="24"/>
          <w:szCs w:val="24"/>
          <w:lang w:val="en-US"/>
        </w:rPr>
        <w:t>Typical Compulsory Insurance Payments to the Russian Extra-Budgetary Funds in 2016</w:t>
      </w:r>
    </w:p>
    <w:tbl>
      <w:tblPr>
        <w:tblW w:w="0" w:type="auto"/>
        <w:tblBorders>
          <w:top w:val="single" w:sz="2" w:space="0" w:color="D3D3D3"/>
          <w:left w:val="single" w:sz="6" w:space="0" w:color="D3D3D3"/>
          <w:bottom w:val="single" w:sz="6" w:space="0" w:color="D3D3D3"/>
          <w:right w:val="single" w:sz="2" w:space="0" w:color="D3D3D3"/>
        </w:tblBorders>
        <w:shd w:val="clear" w:color="auto" w:fill="FFFFFF"/>
        <w:tblCellMar>
          <w:top w:w="15" w:type="dxa"/>
          <w:left w:w="15" w:type="dxa"/>
          <w:bottom w:w="15" w:type="dxa"/>
          <w:right w:w="15" w:type="dxa"/>
        </w:tblCellMar>
        <w:tblLook w:val="04A0"/>
      </w:tblPr>
      <w:tblGrid>
        <w:gridCol w:w="1853"/>
        <w:gridCol w:w="1957"/>
        <w:gridCol w:w="2784"/>
        <w:gridCol w:w="993"/>
        <w:gridCol w:w="2237"/>
      </w:tblGrid>
      <w:tr w:rsidR="00472A60" w:rsidRPr="00C40532" w:rsidTr="000A0C98">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800000"/>
                <w:sz w:val="24"/>
                <w:szCs w:val="24"/>
              </w:rPr>
            </w:pPr>
            <w:r w:rsidRPr="00C40532">
              <w:rPr>
                <w:rFonts w:ascii="Times New Roman" w:hAnsi="Times New Roman" w:cs="Times New Roman"/>
                <w:color w:val="800000"/>
                <w:sz w:val="24"/>
                <w:szCs w:val="24"/>
              </w:rPr>
              <w:t>Payment</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800000"/>
                <w:sz w:val="24"/>
                <w:szCs w:val="24"/>
              </w:rPr>
            </w:pPr>
            <w:r w:rsidRPr="00C40532">
              <w:rPr>
                <w:rFonts w:ascii="Times New Roman" w:hAnsi="Times New Roman" w:cs="Times New Roman"/>
                <w:color w:val="800000"/>
                <w:sz w:val="24"/>
                <w:szCs w:val="24"/>
              </w:rPr>
              <w:t>Extra-Budgetary Fund</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800000"/>
                <w:sz w:val="24"/>
                <w:szCs w:val="24"/>
              </w:rPr>
            </w:pPr>
            <w:r w:rsidRPr="00C40532">
              <w:rPr>
                <w:rFonts w:ascii="Times New Roman" w:hAnsi="Times New Roman" w:cs="Times New Roman"/>
                <w:color w:val="800000"/>
                <w:sz w:val="24"/>
                <w:szCs w:val="24"/>
              </w:rPr>
              <w:t>Payment Base</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800000"/>
                <w:sz w:val="24"/>
                <w:szCs w:val="24"/>
              </w:rPr>
            </w:pPr>
            <w:r w:rsidRPr="00C40532">
              <w:rPr>
                <w:rFonts w:ascii="Times New Roman" w:hAnsi="Times New Roman" w:cs="Times New Roman"/>
                <w:color w:val="800000"/>
                <w:sz w:val="24"/>
                <w:szCs w:val="24"/>
              </w:rPr>
              <w:t>% payment</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800000"/>
                <w:sz w:val="24"/>
                <w:szCs w:val="24"/>
              </w:rPr>
            </w:pPr>
            <w:r w:rsidRPr="00C40532">
              <w:rPr>
                <w:rFonts w:ascii="Times New Roman" w:hAnsi="Times New Roman" w:cs="Times New Roman"/>
                <w:color w:val="800000"/>
                <w:sz w:val="24"/>
                <w:szCs w:val="24"/>
              </w:rPr>
              <w:t>Corresponding regulations</w:t>
            </w:r>
          </w:p>
        </w:tc>
      </w:tr>
      <w:tr w:rsidR="00472A60" w:rsidRPr="003E0431" w:rsidTr="000A0C98">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rPr>
            </w:pPr>
            <w:r w:rsidRPr="00C40532">
              <w:rPr>
                <w:rFonts w:ascii="Times New Roman" w:hAnsi="Times New Roman" w:cs="Times New Roman"/>
                <w:color w:val="555555"/>
                <w:sz w:val="24"/>
                <w:szCs w:val="24"/>
              </w:rPr>
              <w:t>Compulsory pension insurance payments</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rPr>
            </w:pPr>
            <w:r w:rsidRPr="00C40532">
              <w:rPr>
                <w:rFonts w:ascii="Times New Roman" w:hAnsi="Times New Roman" w:cs="Times New Roman"/>
                <w:color w:val="555555"/>
                <w:sz w:val="24"/>
                <w:szCs w:val="24"/>
              </w:rPr>
              <w:t>Pension Fund</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Total sums of remunerations from employer to employee, differentiated tariff depending on accumulated remuneration of a person (for 2016: 22% until reaching RUR 796 000, 10% for the exceeding sum)</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rPr>
            </w:pPr>
            <w:r w:rsidRPr="00C40532">
              <w:rPr>
                <w:rFonts w:ascii="Times New Roman" w:hAnsi="Times New Roman" w:cs="Times New Roman"/>
                <w:color w:val="555555"/>
                <w:sz w:val="24"/>
                <w:szCs w:val="24"/>
              </w:rPr>
              <w:t>22%</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b/>
                <w:bCs/>
                <w:color w:val="555555"/>
                <w:sz w:val="24"/>
                <w:szCs w:val="24"/>
                <w:lang w:val="en-US"/>
              </w:rPr>
              <w:t>Payment rationale:</w:t>
            </w:r>
            <w:r w:rsidRPr="00C40532">
              <w:rPr>
                <w:rFonts w:ascii="Times New Roman" w:hAnsi="Times New Roman" w:cs="Times New Roman"/>
                <w:color w:val="555555"/>
                <w:sz w:val="24"/>
                <w:szCs w:val="24"/>
                <w:lang w:val="en-US"/>
              </w:rPr>
              <w:br/>
              <w:t>federal law #167-FZ</w:t>
            </w:r>
            <w:r w:rsidR="00AA3725">
              <w:fldChar w:fldCharType="begin"/>
            </w:r>
            <w:r w:rsidR="00AA3725" w:rsidRPr="003E0431">
              <w:rPr>
                <w:lang w:val="en-US"/>
              </w:rPr>
              <w:instrText>HYPERLINK "http://www.factosphere.com/pubfinance/budget/sources" \l "32" \o "Source: ConsultantPlus
Date: 15.12.2001"</w:instrText>
            </w:r>
            <w:r w:rsidR="00AA3725">
              <w:fldChar w:fldCharType="separate"/>
            </w:r>
            <w:r w:rsidRPr="00C40532">
              <w:rPr>
                <w:rFonts w:ascii="Times New Roman" w:hAnsi="Times New Roman" w:cs="Times New Roman"/>
                <w:color w:val="408080"/>
                <w:sz w:val="24"/>
                <w:szCs w:val="24"/>
                <w:vertAlign w:val="superscript"/>
                <w:lang w:val="en-US"/>
              </w:rPr>
              <w:t>[32]</w:t>
            </w:r>
            <w:r w:rsidR="00AA3725">
              <w:fldChar w:fldCharType="end"/>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Payment base:</w:t>
            </w:r>
            <w:r w:rsidRPr="00C40532">
              <w:rPr>
                <w:rFonts w:ascii="Times New Roman" w:hAnsi="Times New Roman" w:cs="Times New Roman"/>
                <w:color w:val="555555"/>
                <w:sz w:val="24"/>
                <w:szCs w:val="24"/>
                <w:lang w:val="en-US"/>
              </w:rPr>
              <w:br/>
              <w:t>article 8 of the federal law #212-FZ</w:t>
            </w:r>
            <w:r w:rsidR="00AA3725">
              <w:fldChar w:fldCharType="begin"/>
            </w:r>
            <w:r w:rsidR="00AA3725" w:rsidRPr="003E0431">
              <w:rPr>
                <w:lang w:val="en-US"/>
              </w:rPr>
              <w:instrText>HYPERLINK "http://www.factosphere.com/pubfinance/budget/sources" \l "33"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[33]</w:t>
            </w:r>
            <w:r w:rsidR="00AA3725">
              <w:fldChar w:fldCharType="end"/>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Payment %:</w:t>
            </w:r>
            <w:r w:rsidRPr="00C40532">
              <w:rPr>
                <w:rFonts w:ascii="Times New Roman" w:hAnsi="Times New Roman" w:cs="Times New Roman"/>
                <w:color w:val="555555"/>
                <w:sz w:val="24"/>
                <w:szCs w:val="24"/>
                <w:lang w:val="en-US"/>
              </w:rPr>
              <w:br/>
              <w:t>article 58.2 of the federal law #212-FZ</w:t>
            </w:r>
            <w:r w:rsidR="00AA3725">
              <w:fldChar w:fldCharType="begin"/>
            </w:r>
            <w:r w:rsidR="00AA3725" w:rsidRPr="003E0431">
              <w:rPr>
                <w:lang w:val="en-US"/>
              </w:rPr>
              <w:instrText>HYPERLINK "http://www.factosphere.com/pubfinance/budget/sources" \l "34"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[34]</w:t>
            </w:r>
            <w:r w:rsidR="00AA3725">
              <w:fldChar w:fldCharType="end"/>
            </w:r>
            <w:r w:rsidRPr="00C40532">
              <w:rPr>
                <w:rFonts w:ascii="Times New Roman" w:hAnsi="Times New Roman" w:cs="Times New Roman"/>
                <w:color w:val="555555"/>
                <w:sz w:val="24"/>
                <w:szCs w:val="24"/>
                <w:lang w:val="en-US"/>
              </w:rPr>
              <w:t xml:space="preserve">, resolution of the Russian Government </w:t>
            </w:r>
            <w:r w:rsidRPr="00C40532">
              <w:rPr>
                <w:rFonts w:ascii="Times New Roman" w:hAnsi="Times New Roman" w:cs="Times New Roman"/>
                <w:color w:val="555555"/>
                <w:sz w:val="24"/>
                <w:szCs w:val="24"/>
                <w:lang w:val="en-US"/>
              </w:rPr>
              <w:lastRenderedPageBreak/>
              <w:t>#1265</w:t>
            </w:r>
            <w:r w:rsidR="00AA3725">
              <w:fldChar w:fldCharType="begin"/>
            </w:r>
            <w:r w:rsidR="00AA3725" w:rsidRPr="003E0431">
              <w:rPr>
                <w:lang w:val="en-US"/>
              </w:rPr>
              <w:instrText>HYPERLINK "http://www.factosphere.com/pubfinance/budget/sources" \l "35" \o "Source: ConsultantPlus
Date: 26.11.2015"</w:instrText>
            </w:r>
            <w:r w:rsidR="00AA3725">
              <w:fldChar w:fldCharType="separate"/>
            </w:r>
            <w:r w:rsidRPr="00C40532">
              <w:rPr>
                <w:rFonts w:ascii="Times New Roman" w:hAnsi="Times New Roman" w:cs="Times New Roman"/>
                <w:color w:val="408080"/>
                <w:sz w:val="24"/>
                <w:szCs w:val="24"/>
                <w:vertAlign w:val="superscript"/>
                <w:lang w:val="en-US"/>
              </w:rPr>
              <w:t>[35]</w:t>
            </w:r>
            <w:r w:rsidR="00AA3725">
              <w:fldChar w:fldCharType="end"/>
            </w:r>
          </w:p>
        </w:tc>
      </w:tr>
      <w:tr w:rsidR="00472A60" w:rsidRPr="003E0431" w:rsidTr="000A0C98">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rPr>
            </w:pPr>
            <w:r w:rsidRPr="00C40532">
              <w:rPr>
                <w:rFonts w:ascii="Times New Roman" w:hAnsi="Times New Roman" w:cs="Times New Roman"/>
                <w:color w:val="555555"/>
                <w:sz w:val="24"/>
                <w:szCs w:val="24"/>
              </w:rPr>
              <w:lastRenderedPageBreak/>
              <w:t>Compulsory medical insurance payments</w:t>
            </w:r>
          </w:p>
        </w:tc>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Federal Compulsory Medical Insurance Fund (Pension Fund is the administrator of payments)</w:t>
            </w:r>
          </w:p>
        </w:tc>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Total sums of remunerations from employer to employee</w:t>
            </w:r>
          </w:p>
        </w:tc>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rPr>
            </w:pPr>
            <w:r w:rsidRPr="00C40532">
              <w:rPr>
                <w:rFonts w:ascii="Times New Roman" w:hAnsi="Times New Roman" w:cs="Times New Roman"/>
                <w:color w:val="555555"/>
                <w:sz w:val="24"/>
                <w:szCs w:val="24"/>
              </w:rPr>
              <w:t>5.1%</w:t>
            </w:r>
          </w:p>
        </w:tc>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b/>
                <w:bCs/>
                <w:color w:val="555555"/>
                <w:sz w:val="24"/>
                <w:szCs w:val="24"/>
                <w:lang w:val="en-US"/>
              </w:rPr>
              <w:t>Payment rationale:</w:t>
            </w:r>
            <w:r w:rsidRPr="00C40532">
              <w:rPr>
                <w:rFonts w:ascii="Times New Roman" w:hAnsi="Times New Roman" w:cs="Times New Roman"/>
                <w:color w:val="555555"/>
                <w:sz w:val="24"/>
                <w:szCs w:val="24"/>
                <w:lang w:val="en-US"/>
              </w:rPr>
              <w:br/>
              <w:t>federal law #326-FZ</w:t>
            </w:r>
            <w:r w:rsidR="00AA3725">
              <w:fldChar w:fldCharType="begin"/>
            </w:r>
            <w:r w:rsidR="00AA3725" w:rsidRPr="003E0431">
              <w:rPr>
                <w:lang w:val="en-US"/>
              </w:rPr>
              <w:instrText>HYPERLINK "http://www.factosphere.com/pubfinance/budget/sources" \l "36" \o "Source: ConsultantPlus
Date: 29.11.2010"</w:instrText>
            </w:r>
            <w:r w:rsidR="00AA3725">
              <w:fldChar w:fldCharType="separate"/>
            </w:r>
            <w:r w:rsidRPr="00C40532">
              <w:rPr>
                <w:rFonts w:ascii="Times New Roman" w:hAnsi="Times New Roman" w:cs="Times New Roman"/>
                <w:color w:val="408080"/>
                <w:sz w:val="24"/>
                <w:szCs w:val="24"/>
                <w:vertAlign w:val="superscript"/>
                <w:lang w:val="en-US"/>
              </w:rPr>
              <w:t>[36]</w:t>
            </w:r>
            <w:r w:rsidR="00AA3725">
              <w:fldChar w:fldCharType="end"/>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Payment base:</w:t>
            </w:r>
            <w:r w:rsidRPr="00C40532">
              <w:rPr>
                <w:rFonts w:ascii="Times New Roman" w:hAnsi="Times New Roman" w:cs="Times New Roman"/>
                <w:color w:val="555555"/>
                <w:sz w:val="24"/>
                <w:szCs w:val="24"/>
                <w:lang w:val="en-US"/>
              </w:rPr>
              <w:br/>
              <w:t>article 8 of the federal law #212-FZ</w:t>
            </w:r>
            <w:r w:rsidR="00AA3725">
              <w:fldChar w:fldCharType="begin"/>
            </w:r>
            <w:r w:rsidR="00AA3725" w:rsidRPr="003E0431">
              <w:rPr>
                <w:lang w:val="en-US"/>
              </w:rPr>
              <w:instrText>HYPERLINK "http://www.factosphere.com/pubfinance/budget/sources" \l "37"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[37]</w:t>
            </w:r>
            <w:r w:rsidR="00AA3725">
              <w:fldChar w:fldCharType="end"/>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Payment %:</w:t>
            </w:r>
            <w:r w:rsidRPr="00C40532">
              <w:rPr>
                <w:rFonts w:ascii="Times New Roman" w:hAnsi="Times New Roman" w:cs="Times New Roman"/>
                <w:color w:val="555555"/>
                <w:sz w:val="24"/>
                <w:szCs w:val="24"/>
                <w:lang w:val="en-US"/>
              </w:rPr>
              <w:br/>
              <w:t>article 58.2 of the federal law #212-FZ</w:t>
            </w:r>
            <w:r w:rsidR="00AA3725">
              <w:fldChar w:fldCharType="begin"/>
            </w:r>
            <w:r w:rsidR="00AA3725" w:rsidRPr="003E0431">
              <w:rPr>
                <w:lang w:val="en-US"/>
              </w:rPr>
              <w:instrText>HYPERLINK "http://www.factosphere.com/pubfinance/budget/sources" \l "38"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[38]</w:t>
            </w:r>
            <w:r w:rsidR="00AA3725">
              <w:fldChar w:fldCharType="end"/>
            </w:r>
          </w:p>
        </w:tc>
      </w:tr>
      <w:tr w:rsidR="00472A60" w:rsidRPr="003E0431" w:rsidTr="000A0C98">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Compulsory social insurance payments (temporary disability and maternity)</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rPr>
            </w:pPr>
            <w:r w:rsidRPr="00C40532">
              <w:rPr>
                <w:rFonts w:ascii="Times New Roman" w:hAnsi="Times New Roman" w:cs="Times New Roman"/>
                <w:color w:val="555555"/>
                <w:sz w:val="24"/>
                <w:szCs w:val="24"/>
              </w:rPr>
              <w:t>Social Insurance Fund</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Total sums of remunerations from employer to employee with upper limit of the base at RUR 718 000 for the year 2016.</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rPr>
            </w:pPr>
            <w:r w:rsidRPr="00C40532">
              <w:rPr>
                <w:rFonts w:ascii="Times New Roman" w:hAnsi="Times New Roman" w:cs="Times New Roman"/>
                <w:color w:val="555555"/>
                <w:sz w:val="24"/>
                <w:szCs w:val="24"/>
              </w:rPr>
              <w:t>2.9%</w:t>
            </w:r>
          </w:p>
        </w:tc>
        <w:tc>
          <w:tcPr>
            <w:tcW w:w="0" w:type="auto"/>
            <w:tcBorders>
              <w:top w:val="single" w:sz="6" w:space="0" w:color="D3D3D3"/>
              <w:left w:val="single" w:sz="2" w:space="0" w:color="D3D3D3"/>
              <w:bottom w:val="single" w:sz="2" w:space="0" w:color="D3D3D3"/>
              <w:right w:val="single" w:sz="6" w:space="0" w:color="D3D3D3"/>
            </w:tcBorders>
            <w:shd w:val="clear" w:color="auto" w:fill="FFFFFF"/>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b/>
                <w:bCs/>
                <w:color w:val="555555"/>
                <w:sz w:val="24"/>
                <w:szCs w:val="24"/>
                <w:lang w:val="en-US"/>
              </w:rPr>
              <w:t>Payment rationale:</w:t>
            </w:r>
            <w:r w:rsidRPr="00C40532">
              <w:rPr>
                <w:rFonts w:ascii="Times New Roman" w:hAnsi="Times New Roman" w:cs="Times New Roman"/>
                <w:color w:val="555555"/>
                <w:sz w:val="24"/>
                <w:szCs w:val="24"/>
                <w:lang w:val="en-US"/>
              </w:rPr>
              <w:br/>
              <w:t>federal law #165-FZ</w:t>
            </w:r>
            <w:r w:rsidR="00AA3725">
              <w:fldChar w:fldCharType="begin"/>
            </w:r>
            <w:r w:rsidR="00AA3725" w:rsidRPr="003E0431">
              <w:rPr>
                <w:lang w:val="en-US"/>
              </w:rPr>
              <w:instrText>HYPERLINK "http://www.factosphere.com/pubfinance/budget/sources" \l "39" \o "Source: ConsultantPlus
Date: 16.07.1999"</w:instrText>
            </w:r>
            <w:r w:rsidR="00AA3725">
              <w:fldChar w:fldCharType="separate"/>
            </w:r>
            <w:r w:rsidRPr="00C40532">
              <w:rPr>
                <w:rFonts w:ascii="Times New Roman" w:hAnsi="Times New Roman" w:cs="Times New Roman"/>
                <w:color w:val="408080"/>
                <w:sz w:val="24"/>
                <w:szCs w:val="24"/>
                <w:vertAlign w:val="superscript"/>
                <w:lang w:val="en-US"/>
              </w:rPr>
              <w:t>[39]</w:t>
            </w:r>
            <w:r w:rsidR="00AA3725">
              <w:fldChar w:fldCharType="end"/>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Payment base:</w:t>
            </w:r>
            <w:r w:rsidRPr="00C40532">
              <w:rPr>
                <w:rFonts w:ascii="Times New Roman" w:hAnsi="Times New Roman" w:cs="Times New Roman"/>
                <w:color w:val="555555"/>
                <w:sz w:val="24"/>
                <w:szCs w:val="24"/>
                <w:lang w:val="en-US"/>
              </w:rPr>
              <w:br/>
              <w:t>article 8 of the federal law #212-FZ</w:t>
            </w:r>
            <w:r w:rsidR="00AA3725">
              <w:fldChar w:fldCharType="begin"/>
            </w:r>
            <w:r w:rsidR="00AA3725" w:rsidRPr="003E0431">
              <w:rPr>
                <w:lang w:val="en-US"/>
              </w:rPr>
              <w:instrText>HYPERLINK "http://www.factosphere.com/pubfinance/budget/sources" \l "40"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[40]</w:t>
            </w:r>
            <w:r w:rsidR="00AA3725">
              <w:fldChar w:fldCharType="end"/>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Payment %:</w:t>
            </w:r>
            <w:r w:rsidRPr="00C40532">
              <w:rPr>
                <w:rFonts w:ascii="Times New Roman" w:hAnsi="Times New Roman" w:cs="Times New Roman"/>
                <w:color w:val="555555"/>
                <w:sz w:val="24"/>
                <w:szCs w:val="24"/>
                <w:lang w:val="en-US"/>
              </w:rPr>
              <w:br/>
              <w:t>article 58.2 of the federal law #212-FZ</w:t>
            </w:r>
            <w:r w:rsidR="00AA3725">
              <w:fldChar w:fldCharType="begin"/>
            </w:r>
            <w:r w:rsidR="00AA3725" w:rsidRPr="003E0431">
              <w:rPr>
                <w:lang w:val="en-US"/>
              </w:rPr>
              <w:instrText>HYPERLINK "http://www.factosphere.com/pubfinance/budget/sources" \l "41"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[41]</w:t>
            </w:r>
            <w:r w:rsidR="00AA3725">
              <w:fldChar w:fldCharType="end"/>
            </w:r>
            <w:r w:rsidRPr="00C40532">
              <w:rPr>
                <w:rFonts w:ascii="Times New Roman" w:hAnsi="Times New Roman" w:cs="Times New Roman"/>
                <w:color w:val="555555"/>
                <w:sz w:val="24"/>
                <w:szCs w:val="24"/>
                <w:lang w:val="en-US"/>
              </w:rPr>
              <w:t>, resolution of the Russian Government #1265</w:t>
            </w:r>
            <w:r w:rsidR="00AA3725">
              <w:fldChar w:fldCharType="begin"/>
            </w:r>
            <w:r w:rsidR="00AA3725" w:rsidRPr="003E0431">
              <w:rPr>
                <w:lang w:val="en-US"/>
              </w:rPr>
              <w:instrText>HYPERLINK "http://www.factosphere.com/pubfinance/budget/sources" \l "42" \o "Source: ConsultantPlus
Date: 26.11.2015"</w:instrText>
            </w:r>
            <w:r w:rsidR="00AA3725">
              <w:fldChar w:fldCharType="separate"/>
            </w:r>
            <w:r w:rsidRPr="00C40532">
              <w:rPr>
                <w:rFonts w:ascii="Times New Roman" w:hAnsi="Times New Roman" w:cs="Times New Roman"/>
                <w:color w:val="408080"/>
                <w:sz w:val="24"/>
                <w:szCs w:val="24"/>
                <w:vertAlign w:val="superscript"/>
                <w:lang w:val="en-US"/>
              </w:rPr>
              <w:t>[42]</w:t>
            </w:r>
            <w:r w:rsidR="00AA3725">
              <w:fldChar w:fldCharType="end"/>
            </w:r>
          </w:p>
        </w:tc>
      </w:tr>
      <w:tr w:rsidR="00472A60" w:rsidRPr="003E0431" w:rsidTr="000A0C98">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Compulsory social insurance payments (accidents at work and occupational deceases)</w:t>
            </w:r>
          </w:p>
        </w:tc>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rPr>
            </w:pPr>
            <w:r w:rsidRPr="00C40532">
              <w:rPr>
                <w:rFonts w:ascii="Times New Roman" w:hAnsi="Times New Roman" w:cs="Times New Roman"/>
                <w:color w:val="555555"/>
                <w:sz w:val="24"/>
                <w:szCs w:val="24"/>
              </w:rPr>
              <w:t>Social Insurance Fund</w:t>
            </w:r>
          </w:p>
        </w:tc>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Total sums of remunerations from employer to employee, different tariffs depending on occupation</w:t>
            </w:r>
          </w:p>
        </w:tc>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rPr>
            </w:pPr>
            <w:r w:rsidRPr="00C40532">
              <w:rPr>
                <w:rFonts w:ascii="Times New Roman" w:hAnsi="Times New Roman" w:cs="Times New Roman"/>
                <w:color w:val="555555"/>
                <w:sz w:val="24"/>
                <w:szCs w:val="24"/>
              </w:rPr>
              <w:t>0.2% ÷ 8.5%</w:t>
            </w:r>
          </w:p>
        </w:tc>
        <w:tc>
          <w:tcPr>
            <w:tcW w:w="0" w:type="auto"/>
            <w:tcBorders>
              <w:top w:val="single" w:sz="6" w:space="0" w:color="D3D3D3"/>
              <w:left w:val="single" w:sz="2" w:space="0" w:color="D3D3D3"/>
              <w:bottom w:val="single" w:sz="2" w:space="0" w:color="D3D3D3"/>
              <w:right w:val="single" w:sz="6" w:space="0" w:color="D3D3D3"/>
            </w:tcBorders>
            <w:shd w:val="clear" w:color="auto" w:fill="EEEEEE"/>
            <w:tcMar>
              <w:top w:w="68" w:type="dxa"/>
              <w:left w:w="68" w:type="dxa"/>
              <w:bottom w:w="68" w:type="dxa"/>
              <w:right w:w="68" w:type="dxa"/>
            </w:tcMar>
            <w:vAlign w:val="center"/>
            <w:hideMark/>
          </w:tcPr>
          <w:p w:rsidR="00472A60" w:rsidRPr="00C40532" w:rsidRDefault="00472A60" w:rsidP="000A0C98">
            <w:pPr>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b/>
                <w:bCs/>
                <w:color w:val="555555"/>
                <w:sz w:val="24"/>
                <w:szCs w:val="24"/>
                <w:lang w:val="en-US"/>
              </w:rPr>
              <w:t>Payment rationale:</w:t>
            </w:r>
            <w:r w:rsidRPr="00C40532">
              <w:rPr>
                <w:rFonts w:ascii="Times New Roman" w:hAnsi="Times New Roman" w:cs="Times New Roman"/>
                <w:color w:val="555555"/>
                <w:sz w:val="24"/>
                <w:szCs w:val="24"/>
                <w:lang w:val="en-US"/>
              </w:rPr>
              <w:br/>
              <w:t>federal law #125-FZ</w:t>
            </w:r>
            <w:r w:rsidR="00AA3725">
              <w:fldChar w:fldCharType="begin"/>
            </w:r>
            <w:r w:rsidR="00AA3725" w:rsidRPr="003E0431">
              <w:rPr>
                <w:lang w:val="en-US"/>
              </w:rPr>
              <w:instrText>HYPERLINK "http://www.factosphere.com/pubfinance/budget/sources" \l "43" \o "Source: ConsultantPlus
Date: 24.7.1998"</w:instrText>
            </w:r>
            <w:r w:rsidR="00AA3725">
              <w:fldChar w:fldCharType="separate"/>
            </w:r>
            <w:r w:rsidRPr="00C40532">
              <w:rPr>
                <w:rFonts w:ascii="Times New Roman" w:hAnsi="Times New Roman" w:cs="Times New Roman"/>
                <w:color w:val="408080"/>
                <w:sz w:val="24"/>
                <w:szCs w:val="24"/>
                <w:vertAlign w:val="superscript"/>
                <w:lang w:val="en-US"/>
              </w:rPr>
              <w:t>[43]</w:t>
            </w:r>
            <w:r w:rsidR="00AA3725">
              <w:fldChar w:fldCharType="end"/>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Payment base:</w:t>
            </w:r>
            <w:r w:rsidRPr="00C40532">
              <w:rPr>
                <w:rFonts w:ascii="Times New Roman" w:hAnsi="Times New Roman" w:cs="Times New Roman"/>
                <w:color w:val="555555"/>
                <w:sz w:val="24"/>
                <w:szCs w:val="24"/>
                <w:lang w:val="en-US"/>
              </w:rPr>
              <w:br/>
              <w:t>article 20.1 of the federal law #125-FZ</w:t>
            </w:r>
            <w:r w:rsidR="00AA3725">
              <w:fldChar w:fldCharType="begin"/>
            </w:r>
            <w:r w:rsidR="00AA3725" w:rsidRPr="003E0431">
              <w:rPr>
                <w:lang w:val="en-US"/>
              </w:rPr>
              <w:instrText>HYPERLINK "http://www.factosphere.com/pubfinance/budget/sources" \l "44" \o "Source: ConsultantPlus
Date: 24.7.1998"</w:instrText>
            </w:r>
            <w:r w:rsidR="00AA3725">
              <w:fldChar w:fldCharType="separate"/>
            </w:r>
            <w:r w:rsidRPr="00C40532">
              <w:rPr>
                <w:rFonts w:ascii="Times New Roman" w:hAnsi="Times New Roman" w:cs="Times New Roman"/>
                <w:color w:val="408080"/>
                <w:sz w:val="24"/>
                <w:szCs w:val="24"/>
                <w:vertAlign w:val="superscript"/>
                <w:lang w:val="en-US"/>
              </w:rPr>
              <w:t>[44]</w:t>
            </w:r>
            <w:r w:rsidR="00AA3725">
              <w:fldChar w:fldCharType="end"/>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Payment %:</w:t>
            </w:r>
            <w:r w:rsidRPr="00C40532">
              <w:rPr>
                <w:rFonts w:ascii="Times New Roman" w:hAnsi="Times New Roman" w:cs="Times New Roman"/>
                <w:color w:val="555555"/>
                <w:sz w:val="24"/>
                <w:szCs w:val="24"/>
                <w:lang w:val="en-US"/>
              </w:rPr>
              <w:br/>
              <w:t>federal law #362-FZ</w:t>
            </w:r>
            <w:r w:rsidR="00AA3725">
              <w:fldChar w:fldCharType="begin"/>
            </w:r>
            <w:r w:rsidR="00AA3725" w:rsidRPr="003E0431">
              <w:rPr>
                <w:lang w:val="en-US"/>
              </w:rPr>
              <w:instrText>HYPERLINK "http://www.factosphere.com/pubfinance/budget/sources" \l "45" \o "Source: ConsultantPlus
Date: 14.12.2015"</w:instrText>
            </w:r>
            <w:r w:rsidR="00AA3725">
              <w:fldChar w:fldCharType="separate"/>
            </w:r>
            <w:r w:rsidRPr="00C40532">
              <w:rPr>
                <w:rFonts w:ascii="Times New Roman" w:hAnsi="Times New Roman" w:cs="Times New Roman"/>
                <w:color w:val="408080"/>
                <w:sz w:val="24"/>
                <w:szCs w:val="24"/>
                <w:vertAlign w:val="superscript"/>
                <w:lang w:val="en-US"/>
              </w:rPr>
              <w:t>[45]</w:t>
            </w:r>
            <w:r w:rsidR="00AA3725">
              <w:fldChar w:fldCharType="end"/>
            </w:r>
            <w:r w:rsidRPr="00C40532">
              <w:rPr>
                <w:rFonts w:ascii="Times New Roman" w:hAnsi="Times New Roman" w:cs="Times New Roman"/>
                <w:color w:val="555555"/>
                <w:sz w:val="24"/>
                <w:szCs w:val="24"/>
                <w:lang w:val="en-US"/>
              </w:rPr>
              <w:t> (insurance tariffs)</w:t>
            </w:r>
          </w:p>
        </w:tc>
      </w:tr>
    </w:tbl>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Source: compilation of factosphere.com based on corresponding legislative acts.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There are exceptions on payments to the extra-budgetary funds for taxpayers under Simplified Taxation System and also for several other categories of taxpayers. The employers shall </w:t>
      </w:r>
      <w:r w:rsidRPr="00C40532">
        <w:rPr>
          <w:rFonts w:ascii="Times New Roman" w:hAnsi="Times New Roman" w:cs="Times New Roman"/>
          <w:b/>
          <w:bCs/>
          <w:color w:val="6E6E6E"/>
          <w:sz w:val="24"/>
          <w:szCs w:val="24"/>
          <w:lang w:val="en-US"/>
        </w:rPr>
        <w:t>report </w:t>
      </w:r>
      <w:r w:rsidRPr="00C40532">
        <w:rPr>
          <w:rFonts w:ascii="Times New Roman" w:hAnsi="Times New Roman" w:cs="Times New Roman"/>
          <w:color w:val="555555"/>
          <w:sz w:val="24"/>
          <w:szCs w:val="24"/>
          <w:lang w:val="en-US"/>
        </w:rPr>
        <w:t>on their insurance payments to the federal extra-budgetary funds on </w:t>
      </w:r>
      <w:r w:rsidRPr="00C40532">
        <w:rPr>
          <w:rFonts w:ascii="Times New Roman" w:hAnsi="Times New Roman" w:cs="Times New Roman"/>
          <w:b/>
          <w:bCs/>
          <w:color w:val="6E6E6E"/>
          <w:sz w:val="24"/>
          <w:szCs w:val="24"/>
          <w:lang w:val="en-US"/>
        </w:rPr>
        <w:t>quarterly basis</w:t>
      </w:r>
      <w:r w:rsidRPr="00C40532">
        <w:rPr>
          <w:rFonts w:ascii="Times New Roman" w:hAnsi="Times New Roman" w:cs="Times New Roman"/>
          <w:color w:val="555555"/>
          <w:sz w:val="24"/>
          <w:szCs w:val="24"/>
          <w:lang w:val="en-US"/>
        </w:rPr>
        <w:t>.</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insurance payments to federal extra-budgetary funds are presently </w:t>
      </w:r>
      <w:r w:rsidRPr="00C40532">
        <w:rPr>
          <w:rFonts w:ascii="Times New Roman" w:hAnsi="Times New Roman" w:cs="Times New Roman"/>
          <w:b/>
          <w:bCs/>
          <w:color w:val="6E6E6E"/>
          <w:sz w:val="24"/>
          <w:szCs w:val="24"/>
          <w:lang w:val="en-US"/>
        </w:rPr>
        <w:t>regulated </w:t>
      </w:r>
      <w:r w:rsidRPr="00C40532">
        <w:rPr>
          <w:rFonts w:ascii="Times New Roman" w:hAnsi="Times New Roman" w:cs="Times New Roman"/>
          <w:color w:val="555555"/>
          <w:sz w:val="24"/>
          <w:szCs w:val="24"/>
          <w:lang w:val="en-US"/>
        </w:rPr>
        <w:t>by the Federal Law #212-FZ “On Insurance Payments to Pension Fund of the Russian Federation, Social Insurance Fund of the Russian Federation and Federal Compulsory Medical Insurance Fund” dated July 24, 2009.</w:t>
      </w:r>
      <w:r w:rsidR="00AA3725">
        <w:fldChar w:fldCharType="begin"/>
      </w:r>
      <w:r w:rsidR="00AA3725" w:rsidRPr="003E0431">
        <w:rPr>
          <w:lang w:val="en-US"/>
        </w:rPr>
        <w:instrText>HYPERLINK "http://www.factosphere.com/pubfinance/budget/sources" \l "46"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[46]</w:t>
      </w:r>
      <w:r w:rsidR="00AA3725">
        <w:fldChar w:fldCharType="end"/>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lastRenderedPageBreak/>
        <w:t>It is important to note that the system of the extra-budgetary funds is being changed for the moment. The Russian extra-budgetary funds are being transferred under governance of the Federal Tax Service, and </w:t>
      </w:r>
      <w:r w:rsidRPr="00C40532">
        <w:rPr>
          <w:rFonts w:ascii="Times New Roman" w:hAnsi="Times New Roman" w:cs="Times New Roman"/>
          <w:b/>
          <w:bCs/>
          <w:color w:val="6E6E6E"/>
          <w:sz w:val="24"/>
          <w:szCs w:val="24"/>
          <w:lang w:val="en-US"/>
        </w:rPr>
        <w:t>starting from the year 2017 the administration of insurance payments is transferred to the Russian tax authorities. </w:t>
      </w:r>
      <w:r w:rsidRPr="00C40532">
        <w:rPr>
          <w:rFonts w:ascii="Times New Roman" w:hAnsi="Times New Roman" w:cs="Times New Roman"/>
          <w:color w:val="555555"/>
          <w:sz w:val="24"/>
          <w:szCs w:val="24"/>
          <w:lang w:val="en-US"/>
        </w:rPr>
        <w:t>This will lead to amendments in the Budgetary Code</w:t>
      </w:r>
      <w:r w:rsidR="00AA3725">
        <w:fldChar w:fldCharType="begin"/>
      </w:r>
      <w:r w:rsidR="00AA3725" w:rsidRPr="003E0431">
        <w:rPr>
          <w:lang w:val="en-US"/>
        </w:rPr>
        <w:instrText>HYPERLINK "http://www.factosphere.com/pubfinance/budget/sources" \l "47" \o "Source: Russian Gazette
Date: 03.07.2016"</w:instrText>
      </w:r>
      <w:r w:rsidR="00AA3725">
        <w:fldChar w:fldCharType="separate"/>
      </w:r>
      <w:r w:rsidRPr="00C40532">
        <w:rPr>
          <w:rFonts w:ascii="Times New Roman" w:hAnsi="Times New Roman" w:cs="Times New Roman"/>
          <w:color w:val="408080"/>
          <w:sz w:val="24"/>
          <w:szCs w:val="24"/>
          <w:vertAlign w:val="superscript"/>
          <w:lang w:val="en-US"/>
        </w:rPr>
        <w:t>[47]</w:t>
      </w:r>
      <w:r w:rsidR="00AA3725">
        <w:fldChar w:fldCharType="end"/>
      </w:r>
      <w:r w:rsidRPr="00C40532">
        <w:rPr>
          <w:rFonts w:ascii="Times New Roman" w:hAnsi="Times New Roman" w:cs="Times New Roman"/>
          <w:color w:val="555555"/>
          <w:sz w:val="24"/>
          <w:szCs w:val="24"/>
          <w:lang w:val="en-US"/>
        </w:rPr>
        <w:t>and the Tax Code</w:t>
      </w:r>
      <w:r w:rsidR="00AA3725">
        <w:fldChar w:fldCharType="begin"/>
      </w:r>
      <w:r w:rsidR="00AA3725" w:rsidRPr="003E0431">
        <w:rPr>
          <w:lang w:val="en-US"/>
        </w:rPr>
        <w:instrText>HYPERLINK "http://www.factosphere.com/pubfinance/budget/sources" \l "48" \o "Source: ConsultantPlus
Date: 03.07.2016"</w:instrText>
      </w:r>
      <w:r w:rsidR="00AA3725">
        <w:fldChar w:fldCharType="separate"/>
      </w:r>
      <w:r w:rsidRPr="00C40532">
        <w:rPr>
          <w:rFonts w:ascii="Times New Roman" w:hAnsi="Times New Roman" w:cs="Times New Roman"/>
          <w:color w:val="408080"/>
          <w:sz w:val="24"/>
          <w:szCs w:val="24"/>
          <w:vertAlign w:val="superscript"/>
          <w:lang w:val="en-US"/>
        </w:rPr>
        <w:t>[48]</w:t>
      </w:r>
      <w:r w:rsidR="00AA3725">
        <w:fldChar w:fldCharType="end"/>
      </w:r>
      <w:r w:rsidRPr="00C40532">
        <w:rPr>
          <w:rFonts w:ascii="Times New Roman" w:hAnsi="Times New Roman" w:cs="Times New Roman"/>
          <w:color w:val="555555"/>
          <w:sz w:val="24"/>
          <w:szCs w:val="24"/>
          <w:lang w:val="en-US"/>
        </w:rPr>
        <w:t>, as well as repeal of the mentioned law #212-FZ as envisaged by the federal law #250-FZ dated July 3, 2016</w:t>
      </w:r>
      <w:r w:rsidR="00AA3725">
        <w:fldChar w:fldCharType="begin"/>
      </w:r>
      <w:r w:rsidR="00AA3725" w:rsidRPr="003E0431">
        <w:rPr>
          <w:lang w:val="en-US"/>
        </w:rPr>
        <w:instrText>HYPERLINK "http://www.factosphere.com/pubfinance/budget/sources" \l "49" \o "Source: ConsultantPlus
Date: 03.07.2016"</w:instrText>
      </w:r>
      <w:r w:rsidR="00AA3725">
        <w:fldChar w:fldCharType="separate"/>
      </w:r>
      <w:r w:rsidRPr="00C40532">
        <w:rPr>
          <w:rFonts w:ascii="Times New Roman" w:hAnsi="Times New Roman" w:cs="Times New Roman"/>
          <w:color w:val="408080"/>
          <w:sz w:val="24"/>
          <w:szCs w:val="24"/>
          <w:vertAlign w:val="superscript"/>
          <w:lang w:val="en-US"/>
        </w:rPr>
        <w:t>[49]</w:t>
      </w:r>
      <w:r w:rsidR="00AA3725">
        <w:fldChar w:fldCharType="end"/>
      </w:r>
      <w:r w:rsidRPr="00C40532">
        <w:rPr>
          <w:rFonts w:ascii="Times New Roman" w:hAnsi="Times New Roman" w:cs="Times New Roman"/>
          <w:color w:val="555555"/>
          <w:sz w:val="24"/>
          <w:szCs w:val="24"/>
          <w:lang w:val="en-US"/>
        </w:rPr>
        <w:t>. The declared goals are simplifying payments administration for businesses and decrease of the state’s administration expenses.</w:t>
      </w:r>
    </w:p>
    <w:p w:rsidR="00472A60" w:rsidRPr="00C40532" w:rsidRDefault="00472A60" w:rsidP="00472A60">
      <w:pPr>
        <w:shd w:val="clear" w:color="auto" w:fill="FFFFFF"/>
        <w:spacing w:after="0" w:line="240" w:lineRule="auto"/>
        <w:jc w:val="both"/>
        <w:rPr>
          <w:rFonts w:ascii="Times New Roman" w:hAnsi="Times New Roman" w:cs="Times New Roman"/>
          <w:b/>
          <w:bCs/>
          <w:color w:val="FF6600"/>
          <w:sz w:val="24"/>
          <w:szCs w:val="24"/>
          <w:lang w:val="en-US"/>
        </w:rPr>
      </w:pPr>
      <w:r w:rsidRPr="00C40532">
        <w:rPr>
          <w:rFonts w:ascii="Times New Roman" w:hAnsi="Times New Roman" w:cs="Times New Roman"/>
          <w:b/>
          <w:bCs/>
          <w:color w:val="FF6600"/>
          <w:sz w:val="24"/>
          <w:szCs w:val="24"/>
          <w:lang w:val="en-US"/>
        </w:rPr>
        <w:br/>
      </w:r>
      <w:r w:rsidRPr="00C40532">
        <w:rPr>
          <w:rFonts w:ascii="Times New Roman" w:hAnsi="Times New Roman" w:cs="Times New Roman"/>
          <w:b/>
          <w:bCs/>
          <w:color w:val="FF6600"/>
          <w:sz w:val="24"/>
          <w:szCs w:val="24"/>
          <w:lang w:val="en-US"/>
        </w:rPr>
        <w:br/>
        <w:t>Pension Fund of the Russian Federation and the Russian Pension System</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Web-site: </w:t>
      </w:r>
      <w:r w:rsidR="00AA3725">
        <w:fldChar w:fldCharType="begin"/>
      </w:r>
      <w:r w:rsidR="00AA3725" w:rsidRPr="003E0431">
        <w:rPr>
          <w:lang w:val="en-US"/>
        </w:rPr>
        <w:instrText>HYPERLINK "http://www.pfrf.ru/"</w:instrText>
      </w:r>
      <w:r w:rsidR="00AA3725">
        <w:fldChar w:fldCharType="separate"/>
      </w:r>
      <w:r w:rsidRPr="00C40532">
        <w:rPr>
          <w:rFonts w:ascii="Times New Roman" w:hAnsi="Times New Roman" w:cs="Times New Roman"/>
          <w:color w:val="408080"/>
          <w:sz w:val="24"/>
          <w:szCs w:val="24"/>
          <w:u w:val="single"/>
          <w:lang w:val="en-US"/>
        </w:rPr>
        <w:t>http://www.pfrf.ru</w:t>
      </w:r>
      <w:r w:rsidR="00AA3725">
        <w:fldChar w:fldCharType="end"/>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 xml:space="preserve">The Pension Fund of the Russian Federation (Pensionniy Fond Rossiyskoi Federatsii, </w:t>
      </w:r>
      <w:r w:rsidRPr="00C40532">
        <w:rPr>
          <w:rFonts w:ascii="Times New Roman" w:hAnsi="Times New Roman" w:cs="Times New Roman"/>
          <w:color w:val="555555"/>
          <w:sz w:val="24"/>
          <w:szCs w:val="24"/>
        </w:rPr>
        <w:t>Пенсионный</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Фонд</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Российской</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Федерации</w:t>
      </w:r>
      <w:r w:rsidRPr="00C40532">
        <w:rPr>
          <w:rFonts w:ascii="Times New Roman" w:hAnsi="Times New Roman" w:cs="Times New Roman"/>
          <w:color w:val="555555"/>
          <w:sz w:val="24"/>
          <w:szCs w:val="24"/>
          <w:lang w:val="en-US"/>
        </w:rPr>
        <w:t>), which was established on December 22, 1990, is </w:t>
      </w:r>
      <w:r w:rsidRPr="00C40532">
        <w:rPr>
          <w:rFonts w:ascii="Times New Roman" w:hAnsi="Times New Roman" w:cs="Times New Roman"/>
          <w:b/>
          <w:bCs/>
          <w:color w:val="6E6E6E"/>
          <w:sz w:val="24"/>
          <w:szCs w:val="24"/>
          <w:lang w:val="en-US"/>
        </w:rPr>
        <w:t>the major administrator of the Russian pension system</w:t>
      </w:r>
      <w:r w:rsidRPr="00C40532">
        <w:rPr>
          <w:rFonts w:ascii="Times New Roman" w:hAnsi="Times New Roman" w:cs="Times New Roman"/>
          <w:color w:val="555555"/>
          <w:sz w:val="24"/>
          <w:szCs w:val="24"/>
          <w:lang w:val="en-US"/>
        </w:rPr>
        <w:t>.</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b/>
          <w:bCs/>
          <w:color w:val="6E6E6E"/>
          <w:sz w:val="24"/>
          <w:szCs w:val="24"/>
          <w:lang w:val="en-US"/>
        </w:rPr>
        <w:t>The structure of the fund </w:t>
      </w:r>
      <w:r w:rsidRPr="00C40532">
        <w:rPr>
          <w:rFonts w:ascii="Times New Roman" w:hAnsi="Times New Roman" w:cs="Times New Roman"/>
          <w:color w:val="555555"/>
          <w:sz w:val="24"/>
          <w:szCs w:val="24"/>
          <w:lang w:val="en-US"/>
        </w:rPr>
        <w:t>comprises 7 administrative divisions in the Russian Federal Districts, 83 regional branches in subjects of the Russian Federation and in the town of Baikonur (Kazakhstan), as well as about 2 500 offices throughout Russia.</w:t>
      </w:r>
      <w:r w:rsidR="00AA3725">
        <w:fldChar w:fldCharType="begin"/>
      </w:r>
      <w:r w:rsidR="00AA3725" w:rsidRPr="003E0431">
        <w:rPr>
          <w:lang w:val="en-US"/>
        </w:rPr>
        <w:instrText>HYPERLINK "http://www.factosphere.com/pubfinance/budget/sources" \l "50" \o "Source: Pension Fund of the Russian Federation
Date: 12.08.2016"</w:instrText>
      </w:r>
      <w:r w:rsidR="00AA3725">
        <w:fldChar w:fldCharType="separate"/>
      </w:r>
      <w:r w:rsidRPr="00C40532">
        <w:rPr>
          <w:rFonts w:ascii="Times New Roman" w:hAnsi="Times New Roman" w:cs="Times New Roman"/>
          <w:color w:val="408080"/>
          <w:sz w:val="24"/>
          <w:szCs w:val="24"/>
          <w:vertAlign w:val="superscript"/>
          <w:lang w:val="en-US"/>
        </w:rPr>
        <w:t>[50]</w:t>
      </w:r>
      <w:r w:rsidR="00AA3725">
        <w:fldChar w:fldCharType="end"/>
      </w:r>
      <w:r w:rsidRPr="00C40532">
        <w:rPr>
          <w:rFonts w:ascii="Times New Roman" w:hAnsi="Times New Roman" w:cs="Times New Roman"/>
          <w:color w:val="555555"/>
          <w:sz w:val="24"/>
          <w:szCs w:val="24"/>
          <w:lang w:val="en-US"/>
        </w:rPr>
        <w:t> The fund employs totally more than 130 000 people.</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At present the fund has the following </w:t>
      </w:r>
      <w:r w:rsidRPr="00C40532">
        <w:rPr>
          <w:rFonts w:ascii="Times New Roman" w:hAnsi="Times New Roman" w:cs="Times New Roman"/>
          <w:b/>
          <w:bCs/>
          <w:color w:val="6E6E6E"/>
          <w:sz w:val="24"/>
          <w:szCs w:val="24"/>
          <w:lang w:val="en-US"/>
        </w:rPr>
        <w:t>functions</w:t>
      </w:r>
      <w:r w:rsidRPr="00C40532">
        <w:rPr>
          <w:rFonts w:ascii="Times New Roman" w:hAnsi="Times New Roman" w:cs="Times New Roman"/>
          <w:color w:val="555555"/>
          <w:sz w:val="24"/>
          <w:szCs w:val="24"/>
          <w:lang w:val="en-US"/>
        </w:rPr>
        <w:t>:</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Assigning and payment of insurance pensions, savings pensions and pensions provided by the state;</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Issue of the state certificates on so-called “maternity capital” (state payments to families with children);</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Assigning and execution of social payments to selected categories of people (veterans, heroes of the Russian Federation, disabled people, etc.);</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Administration of compulsory insurance payments for pension and medical insurance (to be carried out by the Federal Tax Service starting from 2017);</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Assigning and execution of federal social surcharges to pensions in order to align them with the living wage in a region;</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Maintenance of the system of personal accounting of rights of compulsory pension insurance system participants;</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Formation, investment and distribution of pension savings;</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Specific measures of support of pensioners and co-financing of social programs of subjects of the Federation;</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Implementation of the Program of State Co-Financing of Pensions;</w:t>
      </w:r>
    </w:p>
    <w:p w:rsidR="00472A60" w:rsidRPr="00C40532" w:rsidRDefault="00472A60" w:rsidP="00472A60">
      <w:pPr>
        <w:numPr>
          <w:ilvl w:val="0"/>
          <w:numId w:val="27"/>
        </w:numPr>
        <w:shd w:val="clear" w:color="auto" w:fill="FFFFFF"/>
        <w:spacing w:after="0" w:line="240" w:lineRule="auto"/>
        <w:jc w:val="both"/>
        <w:rPr>
          <w:rFonts w:ascii="Times New Roman" w:hAnsi="Times New Roman" w:cs="Times New Roman"/>
          <w:color w:val="6E6E6E"/>
          <w:sz w:val="24"/>
          <w:szCs w:val="24"/>
        </w:rPr>
      </w:pPr>
      <w:r w:rsidRPr="00C40532">
        <w:rPr>
          <w:rFonts w:ascii="Times New Roman" w:hAnsi="Times New Roman" w:cs="Times New Roman"/>
          <w:color w:val="6E6E6E"/>
          <w:sz w:val="24"/>
          <w:szCs w:val="24"/>
        </w:rPr>
        <w:t>Implementation of international agreements.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w:t>
      </w:r>
      <w:r w:rsidRPr="00C40532">
        <w:rPr>
          <w:rFonts w:ascii="Times New Roman" w:hAnsi="Times New Roman" w:cs="Times New Roman"/>
          <w:b/>
          <w:bCs/>
          <w:color w:val="6E6E6E"/>
          <w:sz w:val="24"/>
          <w:szCs w:val="24"/>
          <w:lang w:val="en-US"/>
        </w:rPr>
        <w:t>planned key indicators of the budget </w:t>
      </w:r>
      <w:r w:rsidRPr="00C40532">
        <w:rPr>
          <w:rFonts w:ascii="Times New Roman" w:hAnsi="Times New Roman" w:cs="Times New Roman"/>
          <w:color w:val="555555"/>
          <w:sz w:val="24"/>
          <w:szCs w:val="24"/>
          <w:lang w:val="en-US"/>
        </w:rPr>
        <w:t>of the Russian Pension Fund for each year are stated in dedicated federal laws that are coordinated with appropriate laws on the federal budget. For the year 2016 that was the federal law #364-FZ “On the Budget of Pension Fund of the Russian Federation for 2016” dated December 14, 2015.</w:t>
      </w:r>
      <w:r w:rsidR="00AA3725">
        <w:fldChar w:fldCharType="begin"/>
      </w:r>
      <w:r w:rsidR="00AA3725" w:rsidRPr="003E0431">
        <w:rPr>
          <w:lang w:val="en-US"/>
        </w:rPr>
        <w:instrText>HYPERLINK "http://www.factosphere.com/pubfinance/budget/sources" \l "51" \o "Source: ConsultantPlus
Date: 14.12.2015"</w:instrText>
      </w:r>
      <w:r w:rsidR="00AA3725">
        <w:fldChar w:fldCharType="separate"/>
      </w:r>
      <w:r w:rsidRPr="00C40532">
        <w:rPr>
          <w:rFonts w:ascii="Times New Roman" w:hAnsi="Times New Roman" w:cs="Times New Roman"/>
          <w:color w:val="408080"/>
          <w:sz w:val="24"/>
          <w:szCs w:val="24"/>
          <w:vertAlign w:val="superscript"/>
          <w:lang w:val="en-US"/>
        </w:rPr>
        <w:t>[51]</w:t>
      </w:r>
      <w:r w:rsidR="00AA3725">
        <w:fldChar w:fldCharType="end"/>
      </w:r>
      <w:r w:rsidRPr="00C40532">
        <w:rPr>
          <w:rFonts w:ascii="Times New Roman" w:hAnsi="Times New Roman" w:cs="Times New Roman"/>
          <w:color w:val="555555"/>
          <w:sz w:val="24"/>
          <w:szCs w:val="24"/>
          <w:lang w:val="en-US"/>
        </w:rPr>
        <w:t> The mentioned law also provides the list of the key administrators of revenues of the Fund, the list of the key administrators of sources of the Fund’s budget deficit coverage, the list of sources of internal financing of the Fund’s budget deficit and planned structure of the Fund’s budget outlays.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b/>
          <w:bCs/>
          <w:color w:val="6E6E6E"/>
          <w:sz w:val="24"/>
          <w:szCs w:val="24"/>
          <w:lang w:val="en-US"/>
        </w:rPr>
        <w:t>The Russian Pension System</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Throughout the recent decades the Russian pension system was a subject of multiple reforms and substantial changes. The state declared a goal to create the pension system with significant role of private financial institutions, but it has not been successful in this so far. At this point the Russian pension system looks as follows:</w:t>
      </w:r>
    </w:p>
    <w:p w:rsidR="00472A60" w:rsidRPr="00C40532" w:rsidRDefault="00472A60" w:rsidP="00472A60">
      <w:pPr>
        <w:shd w:val="clear" w:color="auto" w:fill="FFFFFF"/>
        <w:spacing w:after="0" w:line="240" w:lineRule="auto"/>
        <w:jc w:val="both"/>
        <w:rPr>
          <w:rFonts w:ascii="Times New Roman" w:hAnsi="Times New Roman" w:cs="Times New Roman"/>
          <w:b/>
          <w:bCs/>
          <w:color w:val="555555"/>
          <w:sz w:val="24"/>
          <w:szCs w:val="24"/>
          <w:lang w:val="en-US"/>
        </w:rPr>
      </w:pPr>
      <w:r w:rsidRPr="00C40532">
        <w:rPr>
          <w:rFonts w:ascii="Times New Roman" w:hAnsi="Times New Roman" w:cs="Times New Roman"/>
          <w:b/>
          <w:bCs/>
          <w:color w:val="555555"/>
          <w:sz w:val="24"/>
          <w:szCs w:val="24"/>
          <w:lang w:val="en-US"/>
        </w:rPr>
        <w:lastRenderedPageBreak/>
        <w:br/>
        <w:t>Provision of Pensions within the Russian Pension System</w:t>
      </w:r>
    </w:p>
    <w:p w:rsidR="00472A60" w:rsidRPr="00C40532" w:rsidRDefault="00472A60" w:rsidP="00472A60">
      <w:pPr>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5948680" cy="2506345"/>
            <wp:effectExtent l="19050" t="0" r="0" b="0"/>
            <wp:docPr id="20" name="Рисунок 20" descr="http://www.factosphere.com/data/pubfinance/budget/pic/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factosphere.com/data/pubfinance/budget/pic/29@1.png"/>
                    <pic:cNvPicPr>
                      <a:picLocks noChangeAspect="1" noChangeArrowheads="1"/>
                    </pic:cNvPicPr>
                  </pic:nvPicPr>
                  <pic:blipFill>
                    <a:blip r:embed="rId83" cstate="print"/>
                    <a:srcRect/>
                    <a:stretch>
                      <a:fillRect/>
                    </a:stretch>
                  </pic:blipFill>
                  <pic:spPr bwMode="auto">
                    <a:xfrm>
                      <a:off x="0" y="0"/>
                      <a:ext cx="5948680" cy="2506345"/>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Source: compilation of factosphere.com based on materials of the Pension Fund of Russia (</w:t>
      </w:r>
      <w:r w:rsidR="00AA3725">
        <w:fldChar w:fldCharType="begin"/>
      </w:r>
      <w:r w:rsidR="00AA3725" w:rsidRPr="003E0431">
        <w:rPr>
          <w:lang w:val="en-US"/>
        </w:rPr>
        <w:instrText>HYPERLINK "http://www.factosphere.com/pubfinance/budget/www.pfrf.ru"</w:instrText>
      </w:r>
      <w:r w:rsidR="00AA3725">
        <w:fldChar w:fldCharType="separate"/>
      </w:r>
      <w:r w:rsidRPr="00C40532">
        <w:rPr>
          <w:rFonts w:ascii="Times New Roman" w:hAnsi="Times New Roman" w:cs="Times New Roman"/>
          <w:color w:val="408080"/>
          <w:sz w:val="24"/>
          <w:szCs w:val="24"/>
          <w:u w:val="single"/>
          <w:lang w:val="en-US"/>
        </w:rPr>
        <w:t>www.pfrf.ru</w:t>
      </w:r>
      <w:r w:rsidR="00AA3725">
        <w:fldChar w:fldCharType="end"/>
      </w:r>
      <w:r w:rsidRPr="00C40532">
        <w:rPr>
          <w:rFonts w:ascii="Times New Roman" w:hAnsi="Times New Roman" w:cs="Times New Roman"/>
          <w:color w:val="555555"/>
          <w:sz w:val="24"/>
          <w:szCs w:val="24"/>
          <w:lang w:val="en-US"/>
        </w:rPr>
        <w:t>) and corresponding legislative acts.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schemes of pensions’ provision are represented primarily by </w:t>
      </w:r>
      <w:r w:rsidRPr="00C40532">
        <w:rPr>
          <w:rFonts w:ascii="Times New Roman" w:hAnsi="Times New Roman" w:cs="Times New Roman"/>
          <w:b/>
          <w:bCs/>
          <w:color w:val="6E6E6E"/>
          <w:sz w:val="24"/>
          <w:szCs w:val="24"/>
          <w:lang w:val="en-US"/>
        </w:rPr>
        <w:t>pensions provided by the state </w:t>
      </w:r>
      <w:r w:rsidRPr="00C40532">
        <w:rPr>
          <w:rFonts w:ascii="Times New Roman" w:hAnsi="Times New Roman" w:cs="Times New Roman"/>
          <w:color w:val="555555"/>
          <w:sz w:val="24"/>
          <w:szCs w:val="24"/>
          <w:lang w:val="en-US"/>
        </w:rPr>
        <w:t>and </w:t>
      </w:r>
      <w:r w:rsidRPr="00C40532">
        <w:rPr>
          <w:rFonts w:ascii="Times New Roman" w:hAnsi="Times New Roman" w:cs="Times New Roman"/>
          <w:b/>
          <w:bCs/>
          <w:color w:val="6E6E6E"/>
          <w:sz w:val="24"/>
          <w:szCs w:val="24"/>
          <w:lang w:val="en-US"/>
        </w:rPr>
        <w:t>compulsory pension insurance scheme. </w:t>
      </w:r>
      <w:r w:rsidRPr="00C40532">
        <w:rPr>
          <w:rFonts w:ascii="Times New Roman" w:hAnsi="Times New Roman" w:cs="Times New Roman"/>
          <w:color w:val="555555"/>
          <w:sz w:val="24"/>
          <w:szCs w:val="24"/>
          <w:lang w:val="en-US"/>
        </w:rPr>
        <w:t>Pensions subject to voluntary payments (corporate and personal pension plans) are still in embryo in Russia.</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b/>
          <w:bCs/>
          <w:color w:val="6E6E6E"/>
          <w:sz w:val="24"/>
          <w:szCs w:val="24"/>
          <w:lang w:val="en-US"/>
        </w:rPr>
        <w:t>Pension provided by the state </w:t>
      </w:r>
      <w:r w:rsidRPr="00C40532">
        <w:rPr>
          <w:rFonts w:ascii="Times New Roman" w:hAnsi="Times New Roman" w:cs="Times New Roman"/>
          <w:color w:val="555555"/>
          <w:sz w:val="24"/>
          <w:szCs w:val="24"/>
          <w:lang w:val="en-US"/>
        </w:rPr>
        <w:t xml:space="preserve">(pensiya po gosudarstvennomu obespecheniyu, </w:t>
      </w:r>
      <w:r w:rsidRPr="00C40532">
        <w:rPr>
          <w:rFonts w:ascii="Times New Roman" w:hAnsi="Times New Roman" w:cs="Times New Roman"/>
          <w:color w:val="555555"/>
          <w:sz w:val="24"/>
          <w:szCs w:val="24"/>
        </w:rPr>
        <w:t>пенсия</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по</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государственному</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обеспечению</w:t>
      </w:r>
      <w:r w:rsidRPr="00C40532">
        <w:rPr>
          <w:rFonts w:ascii="Times New Roman" w:hAnsi="Times New Roman" w:cs="Times New Roman"/>
          <w:color w:val="555555"/>
          <w:sz w:val="24"/>
          <w:szCs w:val="24"/>
          <w:lang w:val="en-US"/>
        </w:rPr>
        <w:t>) addresses selected categories of people, including federal state employees, citizens in military service, veterans, victim of radiation / anthropogenic emergencies, pilots and astronauts, disabled persons (including fixed sum pensions to men over 60 years old and women over 65 years old), as well as members of families of the mentioned categories in specific cases.</w:t>
      </w:r>
      <w:r w:rsidR="00AA3725">
        <w:fldChar w:fldCharType="begin"/>
      </w:r>
      <w:r w:rsidR="00AA3725" w:rsidRPr="003E0431">
        <w:rPr>
          <w:lang w:val="en-US"/>
        </w:rPr>
        <w:instrText>HYPERLINK "http://www.factosphere.com/pubfinance/budget/sources" \l "52" \o "Source: ConsultantPlus
Date: 15.12.2001"</w:instrText>
      </w:r>
      <w:r w:rsidR="00AA3725">
        <w:fldChar w:fldCharType="separate"/>
      </w:r>
      <w:r w:rsidRPr="00C40532">
        <w:rPr>
          <w:rFonts w:ascii="Times New Roman" w:hAnsi="Times New Roman" w:cs="Times New Roman"/>
          <w:color w:val="408080"/>
          <w:sz w:val="24"/>
          <w:szCs w:val="24"/>
          <w:vertAlign w:val="superscript"/>
          <w:lang w:val="en-US"/>
        </w:rPr>
        <w:t>[52]</w:t>
      </w:r>
      <w:r w:rsidR="00AA3725">
        <w:fldChar w:fldCharType="end"/>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Despite the existence of pensions provided by the state, the present pension system primarily relies upon </w:t>
      </w:r>
      <w:r w:rsidRPr="00C40532">
        <w:rPr>
          <w:rFonts w:ascii="Times New Roman" w:hAnsi="Times New Roman" w:cs="Times New Roman"/>
          <w:b/>
          <w:bCs/>
          <w:color w:val="6E6E6E"/>
          <w:sz w:val="24"/>
          <w:szCs w:val="24"/>
          <w:lang w:val="en-US"/>
        </w:rPr>
        <w:t>compulsory pension insurance scheme</w:t>
      </w:r>
      <w:r w:rsidRPr="00C40532">
        <w:rPr>
          <w:rFonts w:ascii="Times New Roman" w:hAnsi="Times New Roman" w:cs="Times New Roman"/>
          <w:color w:val="555555"/>
          <w:sz w:val="24"/>
          <w:szCs w:val="24"/>
          <w:lang w:val="en-US"/>
        </w:rPr>
        <w:t>, which offers </w:t>
      </w:r>
      <w:r w:rsidRPr="00C40532">
        <w:rPr>
          <w:rFonts w:ascii="Times New Roman" w:hAnsi="Times New Roman" w:cs="Times New Roman"/>
          <w:b/>
          <w:bCs/>
          <w:color w:val="6E6E6E"/>
          <w:sz w:val="24"/>
          <w:szCs w:val="24"/>
          <w:lang w:val="en-US"/>
        </w:rPr>
        <w:t>insurance pensions </w:t>
      </w:r>
      <w:r w:rsidRPr="00C40532">
        <w:rPr>
          <w:rFonts w:ascii="Times New Roman" w:hAnsi="Times New Roman" w:cs="Times New Roman"/>
          <w:color w:val="555555"/>
          <w:sz w:val="24"/>
          <w:szCs w:val="24"/>
          <w:lang w:val="en-US"/>
        </w:rPr>
        <w:t>and </w:t>
      </w:r>
      <w:r w:rsidRPr="00C40532">
        <w:rPr>
          <w:rFonts w:ascii="Times New Roman" w:hAnsi="Times New Roman" w:cs="Times New Roman"/>
          <w:b/>
          <w:bCs/>
          <w:color w:val="6E6E6E"/>
          <w:sz w:val="24"/>
          <w:szCs w:val="24"/>
          <w:lang w:val="en-US"/>
        </w:rPr>
        <w:t>savings pensions</w:t>
      </w:r>
      <w:r w:rsidRPr="00C40532">
        <w:rPr>
          <w:rFonts w:ascii="Times New Roman" w:hAnsi="Times New Roman" w:cs="Times New Roman"/>
          <w:color w:val="555555"/>
          <w:sz w:val="24"/>
          <w:szCs w:val="24"/>
          <w:lang w:val="en-US"/>
        </w:rPr>
        <w:t>. Under this scheme employers (organisations) are obliged to pay so-called “</w:t>
      </w:r>
      <w:r w:rsidRPr="00C40532">
        <w:rPr>
          <w:rFonts w:ascii="Times New Roman" w:hAnsi="Times New Roman" w:cs="Times New Roman"/>
          <w:b/>
          <w:bCs/>
          <w:color w:val="6E6E6E"/>
          <w:sz w:val="24"/>
          <w:szCs w:val="24"/>
          <w:lang w:val="en-US"/>
        </w:rPr>
        <w:t>insurance payments</w:t>
      </w:r>
      <w:r w:rsidRPr="00C40532">
        <w:rPr>
          <w:rFonts w:ascii="Times New Roman" w:hAnsi="Times New Roman" w:cs="Times New Roman"/>
          <w:color w:val="555555"/>
          <w:sz w:val="24"/>
          <w:szCs w:val="24"/>
          <w:lang w:val="en-US"/>
        </w:rPr>
        <w:t>” to the Pension Fund of Russia. Insurance payments are typically calculated as </w:t>
      </w:r>
      <w:r w:rsidRPr="00C40532">
        <w:rPr>
          <w:rFonts w:ascii="Times New Roman" w:hAnsi="Times New Roman" w:cs="Times New Roman"/>
          <w:b/>
          <w:bCs/>
          <w:color w:val="6E6E6E"/>
          <w:sz w:val="24"/>
          <w:szCs w:val="24"/>
          <w:lang w:val="en-US"/>
        </w:rPr>
        <w:t>% to total sum of remunerations from employer to employee </w:t>
      </w:r>
      <w:r w:rsidRPr="00C40532">
        <w:rPr>
          <w:rFonts w:ascii="Times New Roman" w:hAnsi="Times New Roman" w:cs="Times New Roman"/>
          <w:color w:val="555555"/>
          <w:sz w:val="24"/>
          <w:szCs w:val="24"/>
          <w:lang w:val="en-US"/>
        </w:rPr>
        <w:t>(22% until 2018 for the most part of organisations according to article 58.2 of the federal law #212-</w:t>
      </w:r>
      <w:proofErr w:type="gramStart"/>
      <w:r w:rsidRPr="00C40532">
        <w:rPr>
          <w:rFonts w:ascii="Times New Roman" w:hAnsi="Times New Roman" w:cs="Times New Roman"/>
          <w:color w:val="555555"/>
          <w:sz w:val="24"/>
          <w:szCs w:val="24"/>
          <w:lang w:val="en-US"/>
        </w:rPr>
        <w:t>FZ</w:t>
      </w:r>
      <w:proofErr w:type="gramEnd"/>
      <w:r w:rsidR="00AA3725">
        <w:fldChar w:fldCharType="begin"/>
      </w:r>
      <w:r w:rsidR="00004B32" w:rsidRPr="008B4EEF">
        <w:rPr>
          <w:lang w:val="en-US"/>
        </w:rPr>
        <w:instrText>HYPERLINK "http://www.factosphere.com/pubfinance/budget/sources" \l "53"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[53]</w:t>
      </w:r>
      <w:r w:rsidR="00AA3725">
        <w:fldChar w:fldCharType="end"/>
      </w:r>
      <w:r w:rsidRPr="00C40532">
        <w:rPr>
          <w:rFonts w:ascii="Times New Roman" w:hAnsi="Times New Roman" w:cs="Times New Roman"/>
          <w:color w:val="555555"/>
          <w:sz w:val="24"/>
          <w:szCs w:val="24"/>
          <w:lang w:val="en-US"/>
        </w:rPr>
        <w:t>).</w:t>
      </w:r>
    </w:p>
    <w:p w:rsidR="00472A60" w:rsidRPr="00C40532" w:rsidRDefault="00472A60" w:rsidP="00472A60">
      <w:pPr>
        <w:numPr>
          <w:ilvl w:val="0"/>
          <w:numId w:val="28"/>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b/>
          <w:bCs/>
          <w:color w:val="6E6E6E"/>
          <w:sz w:val="24"/>
          <w:szCs w:val="24"/>
          <w:lang w:val="en-US"/>
        </w:rPr>
        <w:t>Insurance pension </w:t>
      </w:r>
      <w:r w:rsidRPr="00C40532">
        <w:rPr>
          <w:rFonts w:ascii="Times New Roman" w:hAnsi="Times New Roman" w:cs="Times New Roman"/>
          <w:color w:val="6E6E6E"/>
          <w:sz w:val="24"/>
          <w:szCs w:val="24"/>
          <w:lang w:val="en-US"/>
        </w:rPr>
        <w:t xml:space="preserve">(strakhovaya pensiya, </w:t>
      </w:r>
      <w:r w:rsidRPr="00C40532">
        <w:rPr>
          <w:rFonts w:ascii="Times New Roman" w:hAnsi="Times New Roman" w:cs="Times New Roman"/>
          <w:color w:val="6E6E6E"/>
          <w:sz w:val="24"/>
          <w:szCs w:val="24"/>
        </w:rPr>
        <w:t>страховая</w:t>
      </w:r>
      <w:r w:rsidRPr="00C40532">
        <w:rPr>
          <w:rFonts w:ascii="Times New Roman" w:hAnsi="Times New Roman" w:cs="Times New Roman"/>
          <w:color w:val="6E6E6E"/>
          <w:sz w:val="24"/>
          <w:szCs w:val="24"/>
          <w:lang w:val="en-US"/>
        </w:rPr>
        <w:t xml:space="preserve"> </w:t>
      </w:r>
      <w:r w:rsidRPr="00C40532">
        <w:rPr>
          <w:rFonts w:ascii="Times New Roman" w:hAnsi="Times New Roman" w:cs="Times New Roman"/>
          <w:color w:val="6E6E6E"/>
          <w:sz w:val="24"/>
          <w:szCs w:val="24"/>
        </w:rPr>
        <w:t>пенсия</w:t>
      </w:r>
      <w:r w:rsidRPr="00C40532">
        <w:rPr>
          <w:rFonts w:ascii="Times New Roman" w:hAnsi="Times New Roman" w:cs="Times New Roman"/>
          <w:color w:val="6E6E6E"/>
          <w:sz w:val="24"/>
          <w:szCs w:val="24"/>
          <w:lang w:val="en-US"/>
        </w:rPr>
        <w:t>) is a contribution-based pension. It assumes the state management of funds that are directed by employers to the Pension Fund of the Russian Federation (insurance payments). That factually means that the government redirects insurance pension payments for coverage of its current pension obligations. After reaching pension age or other indicated event, the state starts monthly payments to a pensioner with annual indexation due to inflation (indexation is decided upon by the Russian Government). The insurance pension may be payed due to age, due to disability and due to the loss of breadwinner (paid to family of a person). This pension is also payed to working pensioners (however, without indexation).</w:t>
      </w:r>
    </w:p>
    <w:p w:rsidR="00472A60" w:rsidRPr="00C40532" w:rsidRDefault="00472A60" w:rsidP="00472A60">
      <w:pPr>
        <w:numPr>
          <w:ilvl w:val="0"/>
          <w:numId w:val="28"/>
        </w:numPr>
        <w:shd w:val="clear" w:color="auto" w:fill="FFFFFF"/>
        <w:spacing w:after="0" w:line="240" w:lineRule="auto"/>
        <w:jc w:val="both"/>
        <w:rPr>
          <w:rFonts w:ascii="Times New Roman" w:hAnsi="Times New Roman" w:cs="Times New Roman"/>
          <w:color w:val="6E6E6E"/>
          <w:sz w:val="24"/>
          <w:szCs w:val="24"/>
        </w:rPr>
      </w:pPr>
      <w:r w:rsidRPr="00C40532">
        <w:rPr>
          <w:rFonts w:ascii="Times New Roman" w:hAnsi="Times New Roman" w:cs="Times New Roman"/>
          <w:b/>
          <w:bCs/>
          <w:color w:val="6E6E6E"/>
          <w:sz w:val="24"/>
          <w:szCs w:val="24"/>
          <w:lang w:val="en-US"/>
        </w:rPr>
        <w:t>Savings pension </w:t>
      </w:r>
      <w:r w:rsidRPr="00C40532">
        <w:rPr>
          <w:rFonts w:ascii="Times New Roman" w:hAnsi="Times New Roman" w:cs="Times New Roman"/>
          <w:color w:val="6E6E6E"/>
          <w:sz w:val="24"/>
          <w:szCs w:val="24"/>
          <w:lang w:val="en-US"/>
        </w:rPr>
        <w:t xml:space="preserve">(nakopitelnaya pensiya, </w:t>
      </w:r>
      <w:r w:rsidRPr="00C40532">
        <w:rPr>
          <w:rFonts w:ascii="Times New Roman" w:hAnsi="Times New Roman" w:cs="Times New Roman"/>
          <w:color w:val="6E6E6E"/>
          <w:sz w:val="24"/>
          <w:szCs w:val="24"/>
        </w:rPr>
        <w:t>накопительная</w:t>
      </w:r>
      <w:r w:rsidRPr="00C40532">
        <w:rPr>
          <w:rFonts w:ascii="Times New Roman" w:hAnsi="Times New Roman" w:cs="Times New Roman"/>
          <w:color w:val="6E6E6E"/>
          <w:sz w:val="24"/>
          <w:szCs w:val="24"/>
          <w:lang w:val="en-US"/>
        </w:rPr>
        <w:t xml:space="preserve"> </w:t>
      </w:r>
      <w:r w:rsidRPr="00C40532">
        <w:rPr>
          <w:rFonts w:ascii="Times New Roman" w:hAnsi="Times New Roman" w:cs="Times New Roman"/>
          <w:color w:val="6E6E6E"/>
          <w:sz w:val="24"/>
          <w:szCs w:val="24"/>
        </w:rPr>
        <w:t>пенсия</w:t>
      </w:r>
      <w:r w:rsidRPr="00C40532">
        <w:rPr>
          <w:rFonts w:ascii="Times New Roman" w:hAnsi="Times New Roman" w:cs="Times New Roman"/>
          <w:color w:val="6E6E6E"/>
          <w:sz w:val="24"/>
          <w:szCs w:val="24"/>
          <w:lang w:val="en-US"/>
        </w:rPr>
        <w:t>) was introduced in 2002 and assumes voluntary redirection of a part of insurance payments to be further managed (invested) by a non-state pension fund (NPF) or another authorized actor selected by a person. The savings pension is presently regulated by the Federal law #424-FZ "On Savings Pension" dated December 28, 2013.</w:t>
      </w:r>
      <w:r w:rsidR="00AA3725">
        <w:fldChar w:fldCharType="begin"/>
      </w:r>
      <w:r w:rsidR="00AA3725" w:rsidRPr="003E0431">
        <w:rPr>
          <w:lang w:val="en-US"/>
        </w:rPr>
        <w:instrText>HYPERLINK "http://www.factosphere.com/pubfinance/budget/sources" \l "54" \o "Source: ConsultantPlus
Date: 28.12.2013"</w:instrText>
      </w:r>
      <w:r w:rsidR="00AA3725">
        <w:fldChar w:fldCharType="separate"/>
      </w:r>
      <w:r w:rsidRPr="00C40532">
        <w:rPr>
          <w:rFonts w:ascii="Times New Roman" w:hAnsi="Times New Roman" w:cs="Times New Roman"/>
          <w:color w:val="408080"/>
          <w:sz w:val="24"/>
          <w:szCs w:val="24"/>
          <w:vertAlign w:val="superscript"/>
          <w:lang w:val="en-US"/>
        </w:rPr>
        <w:t>[54]</w:t>
      </w:r>
      <w:r w:rsidR="00AA3725">
        <w:fldChar w:fldCharType="end"/>
      </w:r>
      <w:r w:rsidRPr="00C40532">
        <w:rPr>
          <w:rFonts w:ascii="Times New Roman" w:hAnsi="Times New Roman" w:cs="Times New Roman"/>
          <w:color w:val="6E6E6E"/>
          <w:sz w:val="24"/>
          <w:szCs w:val="24"/>
          <w:lang w:val="en-US"/>
        </w:rPr>
        <w:t xml:space="preserve"> As of 2016, the expected period of payment of </w:t>
      </w:r>
      <w:r w:rsidRPr="00C40532">
        <w:rPr>
          <w:rFonts w:ascii="Times New Roman" w:hAnsi="Times New Roman" w:cs="Times New Roman"/>
          <w:color w:val="6E6E6E"/>
          <w:sz w:val="24"/>
          <w:szCs w:val="24"/>
          <w:lang w:val="en-US"/>
        </w:rPr>
        <w:lastRenderedPageBreak/>
        <w:t>savings pension, which defines current monthly payments to pensioners, amounted to 234 months (19.5 years).</w:t>
      </w:r>
      <w:r w:rsidR="00AA3725">
        <w:fldChar w:fldCharType="begin"/>
      </w:r>
      <w:r w:rsidR="00AA3725" w:rsidRPr="003E0431">
        <w:rPr>
          <w:lang w:val="en-US"/>
        </w:rPr>
        <w:instrText>HYPERLINK "http://www.factosphere.com/pubfinance/budget/sources" \l "55" \o "Source: Russian Gazette
Date: 29.12.2015"</w:instrText>
      </w:r>
      <w:r w:rsidR="00AA3725">
        <w:fldChar w:fldCharType="separate"/>
      </w:r>
      <w:r w:rsidRPr="00C40532">
        <w:rPr>
          <w:rFonts w:ascii="Times New Roman" w:hAnsi="Times New Roman" w:cs="Times New Roman"/>
          <w:color w:val="408080"/>
          <w:sz w:val="24"/>
          <w:szCs w:val="24"/>
          <w:vertAlign w:val="superscript"/>
        </w:rPr>
        <w:t>[55]</w:t>
      </w:r>
      <w:r w:rsidR="00AA3725">
        <w:fldChar w:fldCharType="end"/>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Private persons presently have </w:t>
      </w:r>
      <w:r w:rsidRPr="00C40532">
        <w:rPr>
          <w:rFonts w:ascii="Times New Roman" w:hAnsi="Times New Roman" w:cs="Times New Roman"/>
          <w:b/>
          <w:bCs/>
          <w:color w:val="6E6E6E"/>
          <w:sz w:val="24"/>
          <w:szCs w:val="24"/>
          <w:lang w:val="en-US"/>
        </w:rPr>
        <w:t>two available options </w:t>
      </w:r>
      <w:r w:rsidRPr="00C40532">
        <w:rPr>
          <w:rFonts w:ascii="Times New Roman" w:hAnsi="Times New Roman" w:cs="Times New Roman"/>
          <w:color w:val="555555"/>
          <w:sz w:val="24"/>
          <w:szCs w:val="24"/>
          <w:lang w:val="en-US"/>
        </w:rPr>
        <w:t>of distribution of insurance payments between two mentioned types of pensions (Option 1 for engaging and Option 2 for not engaging savings pensions). It is important to note that not all categories of people are eligible for Option 1 due to age restrictions and limited period of application.</w:t>
      </w:r>
    </w:p>
    <w:p w:rsidR="00472A60" w:rsidRPr="00C40532" w:rsidRDefault="00472A60" w:rsidP="00472A60">
      <w:pPr>
        <w:shd w:val="clear" w:color="auto" w:fill="FFFFFF"/>
        <w:spacing w:after="0" w:line="240" w:lineRule="auto"/>
        <w:jc w:val="both"/>
        <w:rPr>
          <w:rFonts w:ascii="Times New Roman" w:hAnsi="Times New Roman" w:cs="Times New Roman"/>
          <w:b/>
          <w:bCs/>
          <w:color w:val="555555"/>
          <w:sz w:val="24"/>
          <w:szCs w:val="24"/>
          <w:lang w:val="en-US"/>
        </w:rPr>
      </w:pPr>
      <w:r w:rsidRPr="00C40532">
        <w:rPr>
          <w:rFonts w:ascii="Times New Roman" w:hAnsi="Times New Roman" w:cs="Times New Roman"/>
          <w:b/>
          <w:bCs/>
          <w:color w:val="555555"/>
          <w:sz w:val="24"/>
          <w:szCs w:val="24"/>
          <w:lang w:val="en-US"/>
        </w:rPr>
        <w:br/>
        <w:t>Distribution of Insurance Payments under Compulsory Pension Insurance Scheme</w:t>
      </w:r>
    </w:p>
    <w:p w:rsidR="00472A60" w:rsidRPr="00C40532" w:rsidRDefault="00472A60" w:rsidP="00472A60">
      <w:pPr>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5948680" cy="4034155"/>
            <wp:effectExtent l="19050" t="0" r="0" b="0"/>
            <wp:docPr id="21" name="Рисунок 21" descr="http://www.factosphere.com/data/pubfinance/budget/pic/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factosphere.com/data/pubfinance/budget/pic/30@1.png"/>
                    <pic:cNvPicPr>
                      <a:picLocks noChangeAspect="1" noChangeArrowheads="1"/>
                    </pic:cNvPicPr>
                  </pic:nvPicPr>
                  <pic:blipFill>
                    <a:blip r:embed="rId84" cstate="print"/>
                    <a:srcRect/>
                    <a:stretch>
                      <a:fillRect/>
                    </a:stretch>
                  </pic:blipFill>
                  <pic:spPr bwMode="auto">
                    <a:xfrm>
                      <a:off x="0" y="0"/>
                      <a:ext cx="5948680" cy="4034155"/>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Source: compilation of factosphere.com based on materials of the Pension Fund of Russia (</w:t>
      </w:r>
      <w:r w:rsidR="00AA3725">
        <w:fldChar w:fldCharType="begin"/>
      </w:r>
      <w:r w:rsidR="00AA3725" w:rsidRPr="003E0431">
        <w:rPr>
          <w:lang w:val="en-US"/>
        </w:rPr>
        <w:instrText>HYPERLINK "http://www.factosphere.com/pubfinance/budget/www.pfrf.ru"</w:instrText>
      </w:r>
      <w:r w:rsidR="00AA3725">
        <w:fldChar w:fldCharType="separate"/>
      </w:r>
      <w:r w:rsidRPr="00C40532">
        <w:rPr>
          <w:rFonts w:ascii="Times New Roman" w:hAnsi="Times New Roman" w:cs="Times New Roman"/>
          <w:color w:val="408080"/>
          <w:sz w:val="24"/>
          <w:szCs w:val="24"/>
          <w:u w:val="single"/>
          <w:lang w:val="en-US"/>
        </w:rPr>
        <w:t>www.pfrf.ru</w:t>
      </w:r>
      <w:r w:rsidR="00AA3725">
        <w:fldChar w:fldCharType="end"/>
      </w:r>
      <w:r w:rsidRPr="00C40532">
        <w:rPr>
          <w:rFonts w:ascii="Times New Roman" w:hAnsi="Times New Roman" w:cs="Times New Roman"/>
          <w:color w:val="555555"/>
          <w:sz w:val="24"/>
          <w:szCs w:val="24"/>
          <w:lang w:val="en-US"/>
        </w:rPr>
        <w:t>) and corresponding legislative acts.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Russian pension system is still not in a stable state for the moment and is likely to overcome further changes. Facing deteriorating economy performance, in 2014 the Government introduced </w:t>
      </w:r>
      <w:r w:rsidRPr="00C40532">
        <w:rPr>
          <w:rFonts w:ascii="Times New Roman" w:hAnsi="Times New Roman" w:cs="Times New Roman"/>
          <w:b/>
          <w:bCs/>
          <w:color w:val="6E6E6E"/>
          <w:sz w:val="24"/>
          <w:szCs w:val="24"/>
          <w:lang w:val="en-US"/>
        </w:rPr>
        <w:t>moratorium on insurance payments’ distribution to savings pensions</w:t>
      </w:r>
      <w:r w:rsidRPr="00C40532">
        <w:rPr>
          <w:rFonts w:ascii="Times New Roman" w:hAnsi="Times New Roman" w:cs="Times New Roman"/>
          <w:color w:val="555555"/>
          <w:sz w:val="24"/>
          <w:szCs w:val="24"/>
          <w:lang w:val="en-US"/>
        </w:rPr>
        <w:t>, which was then prolonged for 2015 and 2016 with good chances to stay in place in 2017 and 2018 due to deficit of the federal budget. In that way, the whole pension fund inflows have been factually redirected to insurance pensions (i.e. payments to existing pensioners).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As a result, the reform of introduction of savings pensions, which was aimed at increase of the role of independent financial institutions in the Russian pension system, is presently under threat. As of the mid-2016 there was a debate in the Russian Government on rationale of retaining savings pensions within the Russian compulsory pension insurance scheme.</w:t>
      </w:r>
      <w:r w:rsidR="00AA3725">
        <w:fldChar w:fldCharType="begin"/>
      </w:r>
      <w:r w:rsidR="00AA3725" w:rsidRPr="003E0431">
        <w:rPr>
          <w:lang w:val="en-US"/>
        </w:rPr>
        <w:instrText>HYPERLINK "http://www.factosphere.com/pubfinance/budget/sources" \l "56" \o "Source: Lenta
Date: 15.07.2016"</w:instrText>
      </w:r>
      <w:r w:rsidR="00AA3725">
        <w:fldChar w:fldCharType="separate"/>
      </w:r>
      <w:r w:rsidRPr="00C40532">
        <w:rPr>
          <w:rFonts w:ascii="Times New Roman" w:hAnsi="Times New Roman" w:cs="Times New Roman"/>
          <w:color w:val="408080"/>
          <w:sz w:val="24"/>
          <w:szCs w:val="24"/>
          <w:vertAlign w:val="superscript"/>
          <w:lang w:val="en-US"/>
        </w:rPr>
        <w:t>[56]</w:t>
      </w:r>
      <w:r w:rsidR="00AA3725">
        <w:fldChar w:fldCharType="end"/>
      </w:r>
      <w:r w:rsidRPr="00C40532">
        <w:rPr>
          <w:rFonts w:ascii="Times New Roman" w:hAnsi="Times New Roman" w:cs="Times New Roman"/>
          <w:color w:val="555555"/>
          <w:sz w:val="24"/>
          <w:szCs w:val="24"/>
          <w:lang w:val="en-US"/>
        </w:rPr>
        <w:t> It is likely that some changes to the concept of the Russian pension system or even the concept of the full-scale pension reform will be proposed by the Russian Government in autumn 2016.</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There are the following possible major developments of the Russian pension system for the near future:</w:t>
      </w:r>
    </w:p>
    <w:p w:rsidR="00472A60" w:rsidRPr="00C40532" w:rsidRDefault="00472A60" w:rsidP="00472A60">
      <w:pPr>
        <w:numPr>
          <w:ilvl w:val="0"/>
          <w:numId w:val="29"/>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lastRenderedPageBreak/>
        <w:t>Increase in retirement age for all categories of employees (medium probability in 2016-2017, high probability after 2018 presidential elections, for the state employees appropriate decision commencing from 2017 has already been made in May 2016</w:t>
      </w:r>
      <w:r w:rsidR="00AA3725">
        <w:fldChar w:fldCharType="begin"/>
      </w:r>
      <w:r w:rsidR="00AA3725" w:rsidRPr="003E0431">
        <w:rPr>
          <w:lang w:val="en-US"/>
        </w:rPr>
        <w:instrText>HYPERLINK "http://www.factosphere.com/pubfinance/budget/sources" \l "57" \o "Source: ConsultantPlus
Date: 23.05.2016"</w:instrText>
      </w:r>
      <w:r w:rsidR="00AA3725">
        <w:fldChar w:fldCharType="separate"/>
      </w:r>
      <w:r w:rsidRPr="00C40532">
        <w:rPr>
          <w:rFonts w:ascii="Times New Roman" w:hAnsi="Times New Roman" w:cs="Times New Roman"/>
          <w:color w:val="408080"/>
          <w:sz w:val="24"/>
          <w:szCs w:val="24"/>
          <w:vertAlign w:val="superscript"/>
          <w:lang w:val="en-US"/>
        </w:rPr>
        <w:t>[57]</w:t>
      </w:r>
      <w:r w:rsidR="00AA3725">
        <w:fldChar w:fldCharType="end"/>
      </w:r>
      <w:r w:rsidRPr="00C40532">
        <w:rPr>
          <w:rFonts w:ascii="Times New Roman" w:hAnsi="Times New Roman" w:cs="Times New Roman"/>
          <w:color w:val="6E6E6E"/>
          <w:sz w:val="24"/>
          <w:szCs w:val="24"/>
          <w:lang w:val="en-US"/>
        </w:rPr>
        <w:t>);</w:t>
      </w:r>
    </w:p>
    <w:p w:rsidR="00472A60" w:rsidRPr="00C40532" w:rsidRDefault="00472A60" w:rsidP="00472A60">
      <w:pPr>
        <w:numPr>
          <w:ilvl w:val="0"/>
          <w:numId w:val="29"/>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Introducing moratorium on insurance payments’ distribution to savings pensions for 2017-2018 (high probability) or</w:t>
      </w:r>
    </w:p>
    <w:p w:rsidR="00472A60" w:rsidRPr="00C40532" w:rsidRDefault="00472A60" w:rsidP="00472A60">
      <w:pPr>
        <w:numPr>
          <w:ilvl w:val="0"/>
          <w:numId w:val="29"/>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Abolishment of savings pensions (medium-low probability).</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 xml:space="preserve">On September 23, 2016 the Ministry of Finance and the Russian Central Bank announced the new concept of the pension </w:t>
      </w:r>
      <w:proofErr w:type="gramStart"/>
      <w:r w:rsidRPr="00C40532">
        <w:rPr>
          <w:rFonts w:ascii="Times New Roman" w:hAnsi="Times New Roman" w:cs="Times New Roman"/>
          <w:color w:val="555555"/>
          <w:sz w:val="24"/>
          <w:szCs w:val="24"/>
          <w:lang w:val="en-US"/>
        </w:rPr>
        <w:t>reform</w:t>
      </w:r>
      <w:proofErr w:type="gramEnd"/>
      <w:r w:rsidR="00AA3725">
        <w:fldChar w:fldCharType="begin"/>
      </w:r>
      <w:r w:rsidR="00004B32" w:rsidRPr="008B4EEF">
        <w:rPr>
          <w:lang w:val="en-US"/>
        </w:rPr>
        <w:instrText>HYPERLINK "http://www.factosphere.com/pubfinance/budget/sources" \l "58" \o "Source: Kommersant Date: 26.09.2016"</w:instrText>
      </w:r>
      <w:r w:rsidR="00AA3725">
        <w:fldChar w:fldCharType="separate"/>
      </w:r>
      <w:r w:rsidRPr="00C40532">
        <w:rPr>
          <w:rFonts w:ascii="Times New Roman" w:hAnsi="Times New Roman" w:cs="Times New Roman"/>
          <w:color w:val="408080"/>
          <w:sz w:val="24"/>
          <w:szCs w:val="24"/>
          <w:vertAlign w:val="superscript"/>
          <w:lang w:val="en-US"/>
        </w:rPr>
        <w:t>[58]</w:t>
      </w:r>
      <w:r w:rsidR="00AA3725">
        <w:fldChar w:fldCharType="end"/>
      </w:r>
      <w:r w:rsidRPr="00C40532">
        <w:rPr>
          <w:rFonts w:ascii="Times New Roman" w:hAnsi="Times New Roman" w:cs="Times New Roman"/>
          <w:color w:val="555555"/>
          <w:sz w:val="24"/>
          <w:szCs w:val="24"/>
          <w:lang w:val="en-US"/>
        </w:rPr>
        <w:t>assuming compulsory payments of employers for insurance pensions at a rate of 22% of employees’ remuneration plus voluntary payments up to 6% directed to savings pensions (0% at first year of employment, 1% at second year of employment and so on up to 6%). The reform is proposed to be started from 2018.</w:t>
      </w:r>
    </w:p>
    <w:p w:rsidR="00472A60" w:rsidRPr="00C40532" w:rsidRDefault="00472A60" w:rsidP="00472A60">
      <w:pPr>
        <w:shd w:val="clear" w:color="auto" w:fill="FFFFFF"/>
        <w:spacing w:after="0" w:line="240" w:lineRule="auto"/>
        <w:jc w:val="both"/>
        <w:rPr>
          <w:rFonts w:ascii="Times New Roman" w:hAnsi="Times New Roman" w:cs="Times New Roman"/>
          <w:b/>
          <w:bCs/>
          <w:color w:val="FF6600"/>
          <w:sz w:val="24"/>
          <w:szCs w:val="24"/>
          <w:lang w:val="en-US"/>
        </w:rPr>
      </w:pPr>
      <w:r w:rsidRPr="00C40532">
        <w:rPr>
          <w:rFonts w:ascii="Times New Roman" w:hAnsi="Times New Roman" w:cs="Times New Roman"/>
          <w:b/>
          <w:bCs/>
          <w:color w:val="FF6600"/>
          <w:sz w:val="24"/>
          <w:szCs w:val="24"/>
          <w:lang w:val="en-US"/>
        </w:rPr>
        <w:br/>
      </w:r>
      <w:r w:rsidRPr="00C40532">
        <w:rPr>
          <w:rFonts w:ascii="Times New Roman" w:hAnsi="Times New Roman" w:cs="Times New Roman"/>
          <w:b/>
          <w:bCs/>
          <w:color w:val="FF6600"/>
          <w:sz w:val="24"/>
          <w:szCs w:val="24"/>
          <w:lang w:val="en-US"/>
        </w:rPr>
        <w:br/>
        <w:t>Social Insurance Fund of the Russian Federation and the Russian Compulsory Social Insurance System</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Web-site: http://fss.ru/</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 xml:space="preserve">The Social Insurance Fund of the Russian Federation (Fond Socialnogo Strakhovaniya Rossiyskoy Federatsii, </w:t>
      </w:r>
      <w:r w:rsidRPr="00C40532">
        <w:rPr>
          <w:rFonts w:ascii="Times New Roman" w:hAnsi="Times New Roman" w:cs="Times New Roman"/>
          <w:color w:val="555555"/>
          <w:sz w:val="24"/>
          <w:szCs w:val="24"/>
        </w:rPr>
        <w:t>Фонд</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Социального</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Страхования</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Российской</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Федерации</w:t>
      </w:r>
      <w:r w:rsidRPr="00C40532">
        <w:rPr>
          <w:rFonts w:ascii="Times New Roman" w:hAnsi="Times New Roman" w:cs="Times New Roman"/>
          <w:color w:val="555555"/>
          <w:sz w:val="24"/>
          <w:szCs w:val="24"/>
          <w:lang w:val="en-US"/>
        </w:rPr>
        <w:t>) is the key administrator of the Russian </w:t>
      </w:r>
      <w:r w:rsidRPr="00C40532">
        <w:rPr>
          <w:rFonts w:ascii="Times New Roman" w:hAnsi="Times New Roman" w:cs="Times New Roman"/>
          <w:b/>
          <w:bCs/>
          <w:color w:val="6E6E6E"/>
          <w:sz w:val="24"/>
          <w:szCs w:val="24"/>
          <w:lang w:val="en-US"/>
        </w:rPr>
        <w:t>compulsory social insurance system </w:t>
      </w:r>
      <w:r w:rsidRPr="00C40532">
        <w:rPr>
          <w:rFonts w:ascii="Times New Roman" w:hAnsi="Times New Roman" w:cs="Times New Roman"/>
          <w:color w:val="555555"/>
          <w:sz w:val="24"/>
          <w:szCs w:val="24"/>
          <w:lang w:val="en-US"/>
        </w:rPr>
        <w:t>(except social pensions) that secures financial support to insured persons in cases of </w:t>
      </w:r>
      <w:r w:rsidRPr="00C40532">
        <w:rPr>
          <w:rFonts w:ascii="Times New Roman" w:hAnsi="Times New Roman" w:cs="Times New Roman"/>
          <w:b/>
          <w:bCs/>
          <w:color w:val="6E6E6E"/>
          <w:sz w:val="24"/>
          <w:szCs w:val="24"/>
          <w:lang w:val="en-US"/>
        </w:rPr>
        <w:t>accidents at work and occupational deceases</w:t>
      </w:r>
      <w:r w:rsidRPr="00C40532">
        <w:rPr>
          <w:rFonts w:ascii="Times New Roman" w:hAnsi="Times New Roman" w:cs="Times New Roman"/>
          <w:color w:val="555555"/>
          <w:sz w:val="24"/>
          <w:szCs w:val="24"/>
          <w:lang w:val="en-US"/>
        </w:rPr>
        <w:t>, as well as in cases of </w:t>
      </w:r>
      <w:r w:rsidRPr="00C40532">
        <w:rPr>
          <w:rFonts w:ascii="Times New Roman" w:hAnsi="Times New Roman" w:cs="Times New Roman"/>
          <w:b/>
          <w:bCs/>
          <w:color w:val="6E6E6E"/>
          <w:sz w:val="24"/>
          <w:szCs w:val="24"/>
          <w:lang w:val="en-US"/>
        </w:rPr>
        <w:t>temporary disability and maternity</w:t>
      </w:r>
      <w:r w:rsidRPr="00C40532">
        <w:rPr>
          <w:rFonts w:ascii="Times New Roman" w:hAnsi="Times New Roman" w:cs="Times New Roman"/>
          <w:color w:val="555555"/>
          <w:sz w:val="24"/>
          <w:szCs w:val="24"/>
          <w:lang w:val="en-US"/>
        </w:rPr>
        <w:t>. The Fund operates large network of branches and representative offices in the subjects of the Russian Federation and also operates own network of rehabilitation centers.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Fund provides the following </w:t>
      </w:r>
      <w:r w:rsidRPr="00C40532">
        <w:rPr>
          <w:rFonts w:ascii="Times New Roman" w:hAnsi="Times New Roman" w:cs="Times New Roman"/>
          <w:b/>
          <w:bCs/>
          <w:color w:val="6E6E6E"/>
          <w:sz w:val="24"/>
          <w:szCs w:val="24"/>
          <w:lang w:val="en-US"/>
        </w:rPr>
        <w:t>social insurance coverage </w:t>
      </w:r>
      <w:r w:rsidRPr="00C40532">
        <w:rPr>
          <w:rFonts w:ascii="Times New Roman" w:hAnsi="Times New Roman" w:cs="Times New Roman"/>
          <w:color w:val="555555"/>
          <w:sz w:val="24"/>
          <w:szCs w:val="24"/>
          <w:lang w:val="en-US"/>
        </w:rPr>
        <w:t>related to insurance accidents (except social pensions) as envisaged by Article 8 of the federal law #165-FZ “On Fundamentals of the Compulsory Social Insurance” dated July 16, 1999</w:t>
      </w:r>
      <w:r w:rsidR="00AA3725">
        <w:fldChar w:fldCharType="begin"/>
      </w:r>
      <w:r w:rsidR="00AA3725" w:rsidRPr="003E0431">
        <w:rPr>
          <w:lang w:val="en-US"/>
        </w:rPr>
        <w:instrText>HYPERLINK "http://www.factosphere.com/pubfinance/budget/sources" \l "59" \o "Source: ConsultantPlus
Date: 16.07.1999"</w:instrText>
      </w:r>
      <w:r w:rsidR="00AA3725">
        <w:fldChar w:fldCharType="separate"/>
      </w:r>
      <w:r w:rsidRPr="00C40532">
        <w:rPr>
          <w:rFonts w:ascii="Times New Roman" w:hAnsi="Times New Roman" w:cs="Times New Roman"/>
          <w:color w:val="408080"/>
          <w:sz w:val="24"/>
          <w:szCs w:val="24"/>
          <w:vertAlign w:val="superscript"/>
          <w:lang w:val="en-US"/>
        </w:rPr>
        <w:t>[59]</w:t>
      </w:r>
      <w:r w:rsidR="00AA3725">
        <w:fldChar w:fldCharType="end"/>
      </w:r>
      <w:r w:rsidRPr="00C40532">
        <w:rPr>
          <w:rFonts w:ascii="Times New Roman" w:hAnsi="Times New Roman" w:cs="Times New Roman"/>
          <w:color w:val="555555"/>
          <w:sz w:val="24"/>
          <w:szCs w:val="24"/>
          <w:lang w:val="en-US"/>
        </w:rPr>
        <w:t>:</w:t>
      </w:r>
    </w:p>
    <w:p w:rsidR="00472A60" w:rsidRPr="00C40532" w:rsidRDefault="00472A60" w:rsidP="00472A60">
      <w:pPr>
        <w:numPr>
          <w:ilvl w:val="0"/>
          <w:numId w:val="30"/>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Coverage of necessary medical treatment expenses to a medical organisation for medical services provided to an insured person (primarily due to accidents at work);</w:t>
      </w:r>
    </w:p>
    <w:p w:rsidR="00472A60" w:rsidRPr="00C40532" w:rsidRDefault="00472A60" w:rsidP="00472A60">
      <w:pPr>
        <w:numPr>
          <w:ilvl w:val="0"/>
          <w:numId w:val="30"/>
        </w:numPr>
        <w:shd w:val="clear" w:color="auto" w:fill="FFFFFF"/>
        <w:spacing w:after="0" w:line="240" w:lineRule="auto"/>
        <w:jc w:val="both"/>
        <w:rPr>
          <w:rFonts w:ascii="Times New Roman" w:hAnsi="Times New Roman" w:cs="Times New Roman"/>
          <w:color w:val="6E6E6E"/>
          <w:sz w:val="24"/>
          <w:szCs w:val="24"/>
        </w:rPr>
      </w:pPr>
      <w:r w:rsidRPr="00C40532">
        <w:rPr>
          <w:rFonts w:ascii="Times New Roman" w:hAnsi="Times New Roman" w:cs="Times New Roman"/>
          <w:color w:val="6E6E6E"/>
          <w:sz w:val="24"/>
          <w:szCs w:val="24"/>
        </w:rPr>
        <w:t>Temporary disability allowances;</w:t>
      </w:r>
    </w:p>
    <w:p w:rsidR="00472A60" w:rsidRPr="00C40532" w:rsidRDefault="00472A60" w:rsidP="00472A60">
      <w:pPr>
        <w:numPr>
          <w:ilvl w:val="0"/>
          <w:numId w:val="30"/>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Insurance payments due to accidents at work and occupational diseases (primarily one-off or monthly payments due to permanent disability or death), coverage of additional expenses for medical rehabilitation, sanatorium-and-spa treatment, social and professional rehabilitation;</w:t>
      </w:r>
    </w:p>
    <w:p w:rsidR="00472A60" w:rsidRPr="00C40532" w:rsidRDefault="00472A60" w:rsidP="00472A60">
      <w:pPr>
        <w:numPr>
          <w:ilvl w:val="0"/>
          <w:numId w:val="30"/>
        </w:numPr>
        <w:shd w:val="clear" w:color="auto" w:fill="FFFFFF"/>
        <w:spacing w:after="0" w:line="240" w:lineRule="auto"/>
        <w:jc w:val="both"/>
        <w:rPr>
          <w:rFonts w:ascii="Times New Roman" w:hAnsi="Times New Roman" w:cs="Times New Roman"/>
          <w:color w:val="6E6E6E"/>
          <w:sz w:val="24"/>
          <w:szCs w:val="24"/>
        </w:rPr>
      </w:pPr>
      <w:r w:rsidRPr="00C40532">
        <w:rPr>
          <w:rFonts w:ascii="Times New Roman" w:hAnsi="Times New Roman" w:cs="Times New Roman"/>
          <w:color w:val="6E6E6E"/>
          <w:sz w:val="24"/>
          <w:szCs w:val="24"/>
        </w:rPr>
        <w:t>Pregnancy and maternity benefits;</w:t>
      </w:r>
    </w:p>
    <w:p w:rsidR="00472A60" w:rsidRPr="00C40532" w:rsidRDefault="00472A60" w:rsidP="00472A60">
      <w:pPr>
        <w:numPr>
          <w:ilvl w:val="0"/>
          <w:numId w:val="30"/>
        </w:numPr>
        <w:shd w:val="clear" w:color="auto" w:fill="FFFFFF"/>
        <w:spacing w:after="0" w:line="240" w:lineRule="auto"/>
        <w:jc w:val="both"/>
        <w:rPr>
          <w:rFonts w:ascii="Times New Roman" w:hAnsi="Times New Roman" w:cs="Times New Roman"/>
          <w:color w:val="6E6E6E"/>
          <w:sz w:val="24"/>
          <w:szCs w:val="24"/>
        </w:rPr>
      </w:pPr>
      <w:r w:rsidRPr="00C40532">
        <w:rPr>
          <w:rFonts w:ascii="Times New Roman" w:hAnsi="Times New Roman" w:cs="Times New Roman"/>
          <w:color w:val="6E6E6E"/>
          <w:sz w:val="24"/>
          <w:szCs w:val="24"/>
        </w:rPr>
        <w:t>Monthly child benefits;</w:t>
      </w:r>
    </w:p>
    <w:p w:rsidR="00472A60" w:rsidRPr="00C40532" w:rsidRDefault="00472A60" w:rsidP="00472A60">
      <w:pPr>
        <w:numPr>
          <w:ilvl w:val="0"/>
          <w:numId w:val="30"/>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One-off payments to women who registered at medical organisations in the early pregnancy period;</w:t>
      </w:r>
    </w:p>
    <w:p w:rsidR="00472A60" w:rsidRPr="00C40532" w:rsidRDefault="00472A60" w:rsidP="00472A60">
      <w:pPr>
        <w:numPr>
          <w:ilvl w:val="0"/>
          <w:numId w:val="30"/>
        </w:numPr>
        <w:shd w:val="clear" w:color="auto" w:fill="FFFFFF"/>
        <w:spacing w:after="0" w:line="240" w:lineRule="auto"/>
        <w:jc w:val="both"/>
        <w:rPr>
          <w:rFonts w:ascii="Times New Roman" w:hAnsi="Times New Roman" w:cs="Times New Roman"/>
          <w:color w:val="6E6E6E"/>
          <w:sz w:val="24"/>
          <w:szCs w:val="24"/>
        </w:rPr>
      </w:pPr>
      <w:r w:rsidRPr="00C40532">
        <w:rPr>
          <w:rFonts w:ascii="Times New Roman" w:hAnsi="Times New Roman" w:cs="Times New Roman"/>
          <w:color w:val="6E6E6E"/>
          <w:sz w:val="24"/>
          <w:szCs w:val="24"/>
        </w:rPr>
        <w:t>One-off maternity payments;</w:t>
      </w:r>
    </w:p>
    <w:p w:rsidR="00472A60" w:rsidRPr="00C40532" w:rsidRDefault="00472A60" w:rsidP="00472A60">
      <w:pPr>
        <w:numPr>
          <w:ilvl w:val="0"/>
          <w:numId w:val="30"/>
        </w:numPr>
        <w:shd w:val="clear" w:color="auto" w:fill="FFFFFF"/>
        <w:spacing w:after="0" w:line="240" w:lineRule="auto"/>
        <w:jc w:val="both"/>
        <w:rPr>
          <w:rFonts w:ascii="Times New Roman" w:hAnsi="Times New Roman" w:cs="Times New Roman"/>
          <w:color w:val="6E6E6E"/>
          <w:sz w:val="24"/>
          <w:szCs w:val="24"/>
        </w:rPr>
      </w:pPr>
      <w:r w:rsidRPr="00C40532">
        <w:rPr>
          <w:rFonts w:ascii="Times New Roman" w:hAnsi="Times New Roman" w:cs="Times New Roman"/>
          <w:color w:val="6E6E6E"/>
          <w:sz w:val="24"/>
          <w:szCs w:val="24"/>
        </w:rPr>
        <w:t>Social payments for burial;</w:t>
      </w:r>
    </w:p>
    <w:p w:rsidR="00472A60" w:rsidRPr="00C40532" w:rsidRDefault="00472A60" w:rsidP="00472A60">
      <w:pPr>
        <w:numPr>
          <w:ilvl w:val="0"/>
          <w:numId w:val="30"/>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color w:val="6E6E6E"/>
          <w:sz w:val="24"/>
          <w:szCs w:val="24"/>
          <w:lang w:val="en-US"/>
        </w:rPr>
        <w:t>Other types of insurance coverage provided by specific federal laws (one-off payment for child adoption, child adoption benefits, allowances for additional days off on disabled child care).</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Social Insurance Fund is primarily formed by means of </w:t>
      </w:r>
      <w:r w:rsidRPr="00C40532">
        <w:rPr>
          <w:rFonts w:ascii="Times New Roman" w:hAnsi="Times New Roman" w:cs="Times New Roman"/>
          <w:b/>
          <w:bCs/>
          <w:color w:val="6E6E6E"/>
          <w:sz w:val="24"/>
          <w:szCs w:val="24"/>
          <w:lang w:val="en-US"/>
        </w:rPr>
        <w:t>compulsory insurance payments </w:t>
      </w:r>
      <w:r w:rsidRPr="00C40532">
        <w:rPr>
          <w:rFonts w:ascii="Times New Roman" w:hAnsi="Times New Roman" w:cs="Times New Roman"/>
          <w:color w:val="555555"/>
          <w:sz w:val="24"/>
          <w:szCs w:val="24"/>
          <w:lang w:val="en-US"/>
        </w:rPr>
        <w:t>by the Russian employers.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As of 2016, the typical payment of the most part of organisations for </w:t>
      </w:r>
      <w:r w:rsidRPr="00C40532">
        <w:rPr>
          <w:rFonts w:ascii="Times New Roman" w:hAnsi="Times New Roman" w:cs="Times New Roman"/>
          <w:b/>
          <w:bCs/>
          <w:color w:val="6E6E6E"/>
          <w:sz w:val="24"/>
          <w:szCs w:val="24"/>
          <w:lang w:val="en-US"/>
        </w:rPr>
        <w:t>temporary disability and maternity insurance </w:t>
      </w:r>
      <w:r w:rsidRPr="00C40532">
        <w:rPr>
          <w:rFonts w:ascii="Times New Roman" w:hAnsi="Times New Roman" w:cs="Times New Roman"/>
          <w:color w:val="555555"/>
          <w:sz w:val="24"/>
          <w:szCs w:val="24"/>
          <w:lang w:val="en-US"/>
        </w:rPr>
        <w:t>amounted to </w:t>
      </w:r>
      <w:r w:rsidRPr="00C40532">
        <w:rPr>
          <w:rFonts w:ascii="Times New Roman" w:hAnsi="Times New Roman" w:cs="Times New Roman"/>
          <w:b/>
          <w:bCs/>
          <w:color w:val="6E6E6E"/>
          <w:sz w:val="24"/>
          <w:szCs w:val="24"/>
          <w:lang w:val="en-US"/>
        </w:rPr>
        <w:t>2.9% of aggregate remuneration paid by employers to employees </w:t>
      </w:r>
      <w:r w:rsidRPr="00C40532">
        <w:rPr>
          <w:rFonts w:ascii="Times New Roman" w:hAnsi="Times New Roman" w:cs="Times New Roman"/>
          <w:color w:val="555555"/>
          <w:sz w:val="24"/>
          <w:szCs w:val="24"/>
          <w:lang w:val="en-US"/>
        </w:rPr>
        <w:t>(typically salary fund) in accordance with article 58.2 of the federal law #212-FZ</w:t>
      </w:r>
      <w:r w:rsidR="00AA3725">
        <w:fldChar w:fldCharType="begin"/>
      </w:r>
      <w:r w:rsidR="00AA3725" w:rsidRPr="003E0431">
        <w:rPr>
          <w:lang w:val="en-US"/>
        </w:rPr>
        <w:instrText>HYPERLINK "http://www.factosphere.com/pubfinance/budget/sources" \l "60"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[60]</w:t>
      </w:r>
      <w:r w:rsidR="00AA3725">
        <w:fldChar w:fldCharType="end"/>
      </w:r>
      <w:r w:rsidRPr="00C40532">
        <w:rPr>
          <w:rFonts w:ascii="Times New Roman" w:hAnsi="Times New Roman" w:cs="Times New Roman"/>
          <w:color w:val="555555"/>
          <w:sz w:val="24"/>
          <w:szCs w:val="24"/>
          <w:lang w:val="en-US"/>
        </w:rPr>
        <w:t xml:space="preserve">. The annual income of a person from which this sum is paid (payment base) has the upper limit, which </w:t>
      </w:r>
      <w:r w:rsidRPr="00C40532">
        <w:rPr>
          <w:rFonts w:ascii="Times New Roman" w:hAnsi="Times New Roman" w:cs="Times New Roman"/>
          <w:color w:val="555555"/>
          <w:sz w:val="24"/>
          <w:szCs w:val="24"/>
          <w:lang w:val="en-US"/>
        </w:rPr>
        <w:lastRenderedPageBreak/>
        <w:t>amounted to RUR 718 000 in 2016 (RUR 670 000 in 2015). All income above this sum is not a subject to temporary disability and maternity insurance payment.</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In addition, the employers shall also make </w:t>
      </w:r>
      <w:r w:rsidRPr="00C40532">
        <w:rPr>
          <w:rFonts w:ascii="Times New Roman" w:hAnsi="Times New Roman" w:cs="Times New Roman"/>
          <w:b/>
          <w:bCs/>
          <w:color w:val="6E6E6E"/>
          <w:sz w:val="24"/>
          <w:szCs w:val="24"/>
          <w:lang w:val="en-US"/>
        </w:rPr>
        <w:t>compulsory insurance payments for accidents at work and occupational deceases </w:t>
      </w:r>
      <w:r w:rsidRPr="00C40532">
        <w:rPr>
          <w:rFonts w:ascii="Times New Roman" w:hAnsi="Times New Roman" w:cs="Times New Roman"/>
          <w:color w:val="555555"/>
          <w:sz w:val="24"/>
          <w:szCs w:val="24"/>
          <w:lang w:val="en-US"/>
        </w:rPr>
        <w:t>in accordance with the federal law #125-FZ “On Compulsory Social Insurance of Accidents at Work and Occupational Deceases” dated July 24, 1998.</w:t>
      </w:r>
      <w:r w:rsidR="00AA3725">
        <w:fldChar w:fldCharType="begin"/>
      </w:r>
      <w:r w:rsidR="00AA3725" w:rsidRPr="003E0431">
        <w:rPr>
          <w:lang w:val="en-US"/>
        </w:rPr>
        <w:instrText>HYPERLINK "http://www.factosphere.com/pubfinance/budget/sources" \l "61" \o "Source: ConsultantPlus
Date: 24.07.1998"</w:instrText>
      </w:r>
      <w:r w:rsidR="00AA3725">
        <w:fldChar w:fldCharType="separate"/>
      </w:r>
      <w:r w:rsidRPr="00C40532">
        <w:rPr>
          <w:rFonts w:ascii="Times New Roman" w:hAnsi="Times New Roman" w:cs="Times New Roman"/>
          <w:color w:val="408080"/>
          <w:sz w:val="24"/>
          <w:szCs w:val="24"/>
          <w:vertAlign w:val="superscript"/>
          <w:lang w:val="en-US"/>
        </w:rPr>
        <w:t>[61]</w:t>
      </w:r>
      <w:r w:rsidR="00AA3725">
        <w:fldChar w:fldCharType="end"/>
      </w:r>
      <w:r w:rsidRPr="00C40532">
        <w:rPr>
          <w:rFonts w:ascii="Times New Roman" w:hAnsi="Times New Roman" w:cs="Times New Roman"/>
          <w:color w:val="555555"/>
          <w:sz w:val="24"/>
          <w:szCs w:val="24"/>
          <w:lang w:val="en-US"/>
        </w:rPr>
        <w:t> Those payments are calculated based on </w:t>
      </w:r>
      <w:r w:rsidRPr="00C40532">
        <w:rPr>
          <w:rFonts w:ascii="Times New Roman" w:hAnsi="Times New Roman" w:cs="Times New Roman"/>
          <w:b/>
          <w:bCs/>
          <w:color w:val="6E6E6E"/>
          <w:sz w:val="24"/>
          <w:szCs w:val="24"/>
          <w:lang w:val="en-US"/>
        </w:rPr>
        <w:t>insurance tariffs </w:t>
      </w:r>
      <w:r w:rsidRPr="00C40532">
        <w:rPr>
          <w:rFonts w:ascii="Times New Roman" w:hAnsi="Times New Roman" w:cs="Times New Roman"/>
          <w:color w:val="555555"/>
          <w:sz w:val="24"/>
          <w:szCs w:val="24"/>
          <w:lang w:val="en-US"/>
        </w:rPr>
        <w:t>elaborated in accordance with estimates of risks of specific professions and adopted each year by appropriate federal laws. For the year 2016 those tariffs varied from </w:t>
      </w:r>
      <w:r w:rsidRPr="00C40532">
        <w:rPr>
          <w:rFonts w:ascii="Times New Roman" w:hAnsi="Times New Roman" w:cs="Times New Roman"/>
          <w:b/>
          <w:bCs/>
          <w:color w:val="6E6E6E"/>
          <w:sz w:val="24"/>
          <w:szCs w:val="24"/>
          <w:lang w:val="en-US"/>
        </w:rPr>
        <w:t>0.2% to 8.5% to aggregate remuneration paid by employers to employees </w:t>
      </w:r>
      <w:r w:rsidRPr="00C40532">
        <w:rPr>
          <w:rFonts w:ascii="Times New Roman" w:hAnsi="Times New Roman" w:cs="Times New Roman"/>
          <w:color w:val="555555"/>
          <w:sz w:val="24"/>
          <w:szCs w:val="24"/>
          <w:lang w:val="en-US"/>
        </w:rPr>
        <w:t>in accordance with the federal law #362-FZ</w:t>
      </w:r>
      <w:r w:rsidR="00AA3725">
        <w:fldChar w:fldCharType="begin"/>
      </w:r>
      <w:r w:rsidR="00AA3725" w:rsidRPr="003E0431">
        <w:rPr>
          <w:lang w:val="en-US"/>
        </w:rPr>
        <w:instrText>HYPERLINK "http://www.factosphere.com/pubfinance/budget/sources" \l "62" \o "Source: ConsultantPlus
Date: 14.12.2015"</w:instrText>
      </w:r>
      <w:r w:rsidR="00AA3725">
        <w:fldChar w:fldCharType="separate"/>
      </w:r>
      <w:r w:rsidRPr="00C40532">
        <w:rPr>
          <w:rFonts w:ascii="Times New Roman" w:hAnsi="Times New Roman" w:cs="Times New Roman"/>
          <w:color w:val="408080"/>
          <w:sz w:val="24"/>
          <w:szCs w:val="24"/>
          <w:vertAlign w:val="superscript"/>
          <w:lang w:val="en-US"/>
        </w:rPr>
        <w:t>[62]</w:t>
      </w:r>
      <w:r w:rsidR="00AA3725">
        <w:fldChar w:fldCharType="end"/>
      </w:r>
      <w:r w:rsidRPr="00C40532">
        <w:rPr>
          <w:rFonts w:ascii="Times New Roman" w:hAnsi="Times New Roman" w:cs="Times New Roman"/>
          <w:color w:val="555555"/>
          <w:sz w:val="24"/>
          <w:szCs w:val="24"/>
          <w:lang w:val="en-US"/>
        </w:rPr>
        <w:t>.</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w:t>
      </w:r>
      <w:r w:rsidRPr="00C40532">
        <w:rPr>
          <w:rFonts w:ascii="Times New Roman" w:hAnsi="Times New Roman" w:cs="Times New Roman"/>
          <w:b/>
          <w:bCs/>
          <w:color w:val="6E6E6E"/>
          <w:sz w:val="24"/>
          <w:szCs w:val="24"/>
          <w:lang w:val="en-US"/>
        </w:rPr>
        <w:t>planned key indicators of the budget </w:t>
      </w:r>
      <w:r w:rsidRPr="00C40532">
        <w:rPr>
          <w:rFonts w:ascii="Times New Roman" w:hAnsi="Times New Roman" w:cs="Times New Roman"/>
          <w:color w:val="555555"/>
          <w:sz w:val="24"/>
          <w:szCs w:val="24"/>
          <w:lang w:val="en-US"/>
        </w:rPr>
        <w:t>of the Russian Social Insurance Fund for each year are stated in dedicated federal laws that are coordinated with appropriate laws on the federal budget. For the year 2016 that was the federal law #363-FZ “On the Budget of Social Insurance Fund of the Russian Federation for 2016” dated December 14, 2015.</w:t>
      </w:r>
      <w:r w:rsidR="00AA3725">
        <w:fldChar w:fldCharType="begin"/>
      </w:r>
      <w:r w:rsidR="00AA3725" w:rsidRPr="003E0431">
        <w:rPr>
          <w:lang w:val="en-US"/>
        </w:rPr>
        <w:instrText>HYPERLINK "http://www.factosphere.com/pubfinance/budget/sources" \l "63" \o "Source: ConsultantPlus
Date: 14.12.2015"</w:instrText>
      </w:r>
      <w:r w:rsidR="00AA3725">
        <w:fldChar w:fldCharType="separate"/>
      </w:r>
      <w:r w:rsidRPr="00C40532">
        <w:rPr>
          <w:rFonts w:ascii="Times New Roman" w:hAnsi="Times New Roman" w:cs="Times New Roman"/>
          <w:color w:val="408080"/>
          <w:sz w:val="24"/>
          <w:szCs w:val="24"/>
          <w:vertAlign w:val="superscript"/>
          <w:lang w:val="en-US"/>
        </w:rPr>
        <w:t>[63]</w:t>
      </w:r>
      <w:r w:rsidR="00AA3725">
        <w:fldChar w:fldCharType="end"/>
      </w:r>
      <w:r w:rsidRPr="00C40532">
        <w:rPr>
          <w:rFonts w:ascii="Times New Roman" w:hAnsi="Times New Roman" w:cs="Times New Roman"/>
          <w:color w:val="555555"/>
          <w:sz w:val="24"/>
          <w:szCs w:val="24"/>
          <w:lang w:val="en-US"/>
        </w:rPr>
        <w:t> The mentioned law also provides the list of the key administrators of revenues of the Fund, the list of the key administrators of sources of the Fund’s budget deficit coverage, the list of sources of internal financing of the Fund’s budget deficit and planned structure of the Fund’s budget outlays.</w:t>
      </w:r>
    </w:p>
    <w:p w:rsidR="00472A60" w:rsidRPr="00C40532" w:rsidRDefault="00472A60" w:rsidP="00472A60">
      <w:pPr>
        <w:shd w:val="clear" w:color="auto" w:fill="FFFFFF"/>
        <w:spacing w:after="0" w:line="240" w:lineRule="auto"/>
        <w:jc w:val="both"/>
        <w:rPr>
          <w:rFonts w:ascii="Times New Roman" w:hAnsi="Times New Roman" w:cs="Times New Roman"/>
          <w:b/>
          <w:bCs/>
          <w:color w:val="FF6600"/>
          <w:sz w:val="24"/>
          <w:szCs w:val="24"/>
          <w:lang w:val="en-US"/>
        </w:rPr>
      </w:pPr>
      <w:r w:rsidRPr="00C40532">
        <w:rPr>
          <w:rFonts w:ascii="Times New Roman" w:hAnsi="Times New Roman" w:cs="Times New Roman"/>
          <w:b/>
          <w:bCs/>
          <w:color w:val="FF6600"/>
          <w:sz w:val="24"/>
          <w:szCs w:val="24"/>
          <w:lang w:val="en-US"/>
        </w:rPr>
        <w:br/>
      </w:r>
      <w:r w:rsidRPr="00C40532">
        <w:rPr>
          <w:rFonts w:ascii="Times New Roman" w:hAnsi="Times New Roman" w:cs="Times New Roman"/>
          <w:b/>
          <w:bCs/>
          <w:color w:val="FF6600"/>
          <w:sz w:val="24"/>
          <w:szCs w:val="24"/>
          <w:lang w:val="en-US"/>
        </w:rPr>
        <w:br/>
        <w:t>Federal Compulsory Medical Insurance Fund and the Russian Compulsory Medical Insurance System</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Web-site: http://www.ffoms.ru/</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 xml:space="preserve">The Federal Compulsory Medical Insurance Fund (Federalniy Fond Obyazatelnogo Meditsinskogo Strakhovaniya, </w:t>
      </w:r>
      <w:r w:rsidRPr="00C40532">
        <w:rPr>
          <w:rFonts w:ascii="Times New Roman" w:hAnsi="Times New Roman" w:cs="Times New Roman"/>
          <w:color w:val="555555"/>
          <w:sz w:val="24"/>
          <w:szCs w:val="24"/>
        </w:rPr>
        <w:t>Федеральный</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Фонд</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Обязательного</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Медицинского</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Страхования</w:t>
      </w:r>
      <w:r w:rsidRPr="00C40532">
        <w:rPr>
          <w:rFonts w:ascii="Times New Roman" w:hAnsi="Times New Roman" w:cs="Times New Roman"/>
          <w:color w:val="555555"/>
          <w:sz w:val="24"/>
          <w:szCs w:val="24"/>
          <w:lang w:val="en-US"/>
        </w:rPr>
        <w:t>) is the key </w:t>
      </w:r>
      <w:r w:rsidRPr="00C40532">
        <w:rPr>
          <w:rFonts w:ascii="Times New Roman" w:hAnsi="Times New Roman" w:cs="Times New Roman"/>
          <w:b/>
          <w:bCs/>
          <w:color w:val="6E6E6E"/>
          <w:sz w:val="24"/>
          <w:szCs w:val="24"/>
          <w:lang w:val="en-US"/>
        </w:rPr>
        <w:t>administrator of the Russian system of compulsory medical insurance </w:t>
      </w:r>
      <w:r w:rsidRPr="00C40532">
        <w:rPr>
          <w:rFonts w:ascii="Times New Roman" w:hAnsi="Times New Roman" w:cs="Times New Roman"/>
          <w:color w:val="555555"/>
          <w:sz w:val="24"/>
          <w:szCs w:val="24"/>
          <w:lang w:val="en-US"/>
        </w:rPr>
        <w:t>that offers limited program of free-of-charge medical services to the Russian residents.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In accordance with the federal law #326-FZ “On Compulsory Medical Insurance in the Russian Federation” dated November 29, 2010</w:t>
      </w:r>
      <w:hyperlink r:id="rId85" w:anchor="64" w:tooltip="Source: ConsultantPlus&#10;Date: 29.11.2010" w:history="1">
        <w:r w:rsidRPr="00C40532">
          <w:rPr>
            <w:rFonts w:ascii="Times New Roman" w:hAnsi="Times New Roman" w:cs="Times New Roman"/>
            <w:color w:val="408080"/>
            <w:sz w:val="24"/>
            <w:szCs w:val="24"/>
            <w:vertAlign w:val="superscript"/>
            <w:lang w:val="en-US"/>
          </w:rPr>
          <w:t>[64]</w:t>
        </w:r>
      </w:hyperlink>
      <w:proofErr w:type="gramStart"/>
      <w:r w:rsidRPr="00C40532">
        <w:rPr>
          <w:rFonts w:ascii="Times New Roman" w:hAnsi="Times New Roman" w:cs="Times New Roman"/>
          <w:color w:val="555555"/>
          <w:sz w:val="24"/>
          <w:szCs w:val="24"/>
          <w:lang w:val="en-US"/>
        </w:rPr>
        <w:t>,</w:t>
      </w:r>
      <w:proofErr w:type="gramEnd"/>
      <w:r w:rsidRPr="00C40532">
        <w:rPr>
          <w:rFonts w:ascii="Times New Roman" w:hAnsi="Times New Roman" w:cs="Times New Roman"/>
          <w:color w:val="555555"/>
          <w:sz w:val="24"/>
          <w:szCs w:val="24"/>
          <w:lang w:val="en-US"/>
        </w:rPr>
        <w:t xml:space="preserve"> the compulsory medical insurance system in Russia relies upon the following </w:t>
      </w:r>
      <w:r w:rsidRPr="00C40532">
        <w:rPr>
          <w:rFonts w:ascii="Times New Roman" w:hAnsi="Times New Roman" w:cs="Times New Roman"/>
          <w:b/>
          <w:bCs/>
          <w:color w:val="6E6E6E"/>
          <w:sz w:val="24"/>
          <w:szCs w:val="24"/>
          <w:lang w:val="en-US"/>
        </w:rPr>
        <w:t>programs</w:t>
      </w:r>
      <w:r w:rsidRPr="00C40532">
        <w:rPr>
          <w:rFonts w:ascii="Times New Roman" w:hAnsi="Times New Roman" w:cs="Times New Roman"/>
          <w:color w:val="555555"/>
          <w:sz w:val="24"/>
          <w:szCs w:val="24"/>
          <w:lang w:val="en-US"/>
        </w:rPr>
        <w:t>:</w:t>
      </w:r>
    </w:p>
    <w:p w:rsidR="00472A60" w:rsidRPr="00C40532" w:rsidRDefault="00472A60" w:rsidP="00472A60">
      <w:pPr>
        <w:numPr>
          <w:ilvl w:val="0"/>
          <w:numId w:val="31"/>
        </w:numPr>
        <w:shd w:val="clear" w:color="auto" w:fill="FFFFFF"/>
        <w:spacing w:after="0" w:line="240" w:lineRule="auto"/>
        <w:jc w:val="both"/>
        <w:rPr>
          <w:rFonts w:ascii="Times New Roman" w:hAnsi="Times New Roman" w:cs="Times New Roman"/>
          <w:color w:val="6E6E6E"/>
          <w:sz w:val="24"/>
          <w:szCs w:val="24"/>
        </w:rPr>
      </w:pPr>
      <w:r w:rsidRPr="00C40532">
        <w:rPr>
          <w:rFonts w:ascii="Times New Roman" w:hAnsi="Times New Roman" w:cs="Times New Roman"/>
          <w:b/>
          <w:bCs/>
          <w:color w:val="6E6E6E"/>
          <w:sz w:val="24"/>
          <w:szCs w:val="24"/>
          <w:lang w:val="en-US"/>
        </w:rPr>
        <w:t>Core program </w:t>
      </w:r>
      <w:r w:rsidRPr="00C40532">
        <w:rPr>
          <w:rFonts w:ascii="Times New Roman" w:hAnsi="Times New Roman" w:cs="Times New Roman"/>
          <w:color w:val="6E6E6E"/>
          <w:sz w:val="24"/>
          <w:szCs w:val="24"/>
          <w:lang w:val="en-US"/>
        </w:rPr>
        <w:t xml:space="preserve">(bazovaya programma, </w:t>
      </w:r>
      <w:r w:rsidRPr="00C40532">
        <w:rPr>
          <w:rFonts w:ascii="Times New Roman" w:hAnsi="Times New Roman" w:cs="Times New Roman"/>
          <w:color w:val="6E6E6E"/>
          <w:sz w:val="24"/>
          <w:szCs w:val="24"/>
        </w:rPr>
        <w:t>базовая</w:t>
      </w:r>
      <w:r w:rsidRPr="00C40532">
        <w:rPr>
          <w:rFonts w:ascii="Times New Roman" w:hAnsi="Times New Roman" w:cs="Times New Roman"/>
          <w:color w:val="6E6E6E"/>
          <w:sz w:val="24"/>
          <w:szCs w:val="24"/>
          <w:lang w:val="en-US"/>
        </w:rPr>
        <w:t xml:space="preserve"> </w:t>
      </w:r>
      <w:r w:rsidRPr="00C40532">
        <w:rPr>
          <w:rFonts w:ascii="Times New Roman" w:hAnsi="Times New Roman" w:cs="Times New Roman"/>
          <w:color w:val="6E6E6E"/>
          <w:sz w:val="24"/>
          <w:szCs w:val="24"/>
        </w:rPr>
        <w:t>программа</w:t>
      </w:r>
      <w:r w:rsidRPr="00C40532">
        <w:rPr>
          <w:rFonts w:ascii="Times New Roman" w:hAnsi="Times New Roman" w:cs="Times New Roman"/>
          <w:color w:val="6E6E6E"/>
          <w:sz w:val="24"/>
          <w:szCs w:val="24"/>
          <w:lang w:val="en-US"/>
        </w:rPr>
        <w:t>) is envisaged by article 35 of the law and comprises core medical services with free-of-charge provision guaranteed by the federal state. The Government </w:t>
      </w:r>
      <w:r w:rsidRPr="00C40532">
        <w:rPr>
          <w:rFonts w:ascii="Times New Roman" w:hAnsi="Times New Roman" w:cs="Times New Roman"/>
          <w:b/>
          <w:bCs/>
          <w:color w:val="6E6E6E"/>
          <w:sz w:val="24"/>
          <w:szCs w:val="24"/>
          <w:lang w:val="en-US"/>
        </w:rPr>
        <w:t>each year </w:t>
      </w:r>
      <w:r w:rsidRPr="00C40532">
        <w:rPr>
          <w:rFonts w:ascii="Times New Roman" w:hAnsi="Times New Roman" w:cs="Times New Roman"/>
          <w:color w:val="6E6E6E"/>
          <w:sz w:val="24"/>
          <w:szCs w:val="24"/>
          <w:lang w:val="en-US"/>
        </w:rPr>
        <w:t xml:space="preserve">adopts the programs of State Guarantees of Provision of the Free Medical Aid to Citizens that contain exact list of services and other conditions related to provision of free of charge medical aid. </w:t>
      </w:r>
      <w:r w:rsidRPr="00C40532">
        <w:rPr>
          <w:rFonts w:ascii="Times New Roman" w:hAnsi="Times New Roman" w:cs="Times New Roman"/>
          <w:color w:val="6E6E6E"/>
          <w:sz w:val="24"/>
          <w:szCs w:val="24"/>
        </w:rPr>
        <w:t>The Program for 2016 was adopted on December 19, 2015.</w:t>
      </w:r>
      <w:hyperlink r:id="rId86" w:anchor="65" w:tooltip="Source: government.ru&#10;Date: 19.12.2015" w:history="1">
        <w:r w:rsidRPr="00C40532">
          <w:rPr>
            <w:rFonts w:ascii="Times New Roman" w:hAnsi="Times New Roman" w:cs="Times New Roman"/>
            <w:color w:val="408080"/>
            <w:sz w:val="24"/>
            <w:szCs w:val="24"/>
            <w:vertAlign w:val="superscript"/>
          </w:rPr>
          <w:t>[65]</w:t>
        </w:r>
      </w:hyperlink>
    </w:p>
    <w:p w:rsidR="00472A60" w:rsidRPr="00C40532" w:rsidRDefault="00472A60" w:rsidP="00472A60">
      <w:pPr>
        <w:numPr>
          <w:ilvl w:val="0"/>
          <w:numId w:val="31"/>
        </w:numPr>
        <w:shd w:val="clear" w:color="auto" w:fill="FFFFFF"/>
        <w:spacing w:after="0" w:line="240" w:lineRule="auto"/>
        <w:jc w:val="both"/>
        <w:rPr>
          <w:rFonts w:ascii="Times New Roman" w:hAnsi="Times New Roman" w:cs="Times New Roman"/>
          <w:color w:val="6E6E6E"/>
          <w:sz w:val="24"/>
          <w:szCs w:val="24"/>
          <w:lang w:val="en-US"/>
        </w:rPr>
      </w:pPr>
      <w:r w:rsidRPr="00C40532">
        <w:rPr>
          <w:rFonts w:ascii="Times New Roman" w:hAnsi="Times New Roman" w:cs="Times New Roman"/>
          <w:b/>
          <w:bCs/>
          <w:color w:val="6E6E6E"/>
          <w:sz w:val="24"/>
          <w:szCs w:val="24"/>
          <w:lang w:val="en-US"/>
        </w:rPr>
        <w:t>Territorial program </w:t>
      </w:r>
      <w:r w:rsidRPr="00C40532">
        <w:rPr>
          <w:rFonts w:ascii="Times New Roman" w:hAnsi="Times New Roman" w:cs="Times New Roman"/>
          <w:color w:val="6E6E6E"/>
          <w:sz w:val="24"/>
          <w:szCs w:val="24"/>
          <w:lang w:val="en-US"/>
        </w:rPr>
        <w:t xml:space="preserve">(territorialnaya programma, </w:t>
      </w:r>
      <w:r w:rsidRPr="00C40532">
        <w:rPr>
          <w:rFonts w:ascii="Times New Roman" w:hAnsi="Times New Roman" w:cs="Times New Roman"/>
          <w:color w:val="6E6E6E"/>
          <w:sz w:val="24"/>
          <w:szCs w:val="24"/>
        </w:rPr>
        <w:t>территориальная</w:t>
      </w:r>
      <w:r w:rsidRPr="00C40532">
        <w:rPr>
          <w:rFonts w:ascii="Times New Roman" w:hAnsi="Times New Roman" w:cs="Times New Roman"/>
          <w:color w:val="6E6E6E"/>
          <w:sz w:val="24"/>
          <w:szCs w:val="24"/>
          <w:lang w:val="en-US"/>
        </w:rPr>
        <w:t xml:space="preserve"> </w:t>
      </w:r>
      <w:r w:rsidRPr="00C40532">
        <w:rPr>
          <w:rFonts w:ascii="Times New Roman" w:hAnsi="Times New Roman" w:cs="Times New Roman"/>
          <w:color w:val="6E6E6E"/>
          <w:sz w:val="24"/>
          <w:szCs w:val="24"/>
        </w:rPr>
        <w:t>программа</w:t>
      </w:r>
      <w:r w:rsidRPr="00C40532">
        <w:rPr>
          <w:rFonts w:ascii="Times New Roman" w:hAnsi="Times New Roman" w:cs="Times New Roman"/>
          <w:color w:val="6E6E6E"/>
          <w:sz w:val="24"/>
          <w:szCs w:val="24"/>
          <w:lang w:val="en-US"/>
        </w:rPr>
        <w:t>) is envisaged by article 36 of the law and is provided in accordance with specific legislation of appropriate subject of the Federation. Territorial programs are elaborated based on the core program and offer an extended list of free-of-charge medical services.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Federal Compulsory Medical Insurance Fund is primarily formed by means of </w:t>
      </w:r>
      <w:r w:rsidRPr="00C40532">
        <w:rPr>
          <w:rFonts w:ascii="Times New Roman" w:hAnsi="Times New Roman" w:cs="Times New Roman"/>
          <w:b/>
          <w:bCs/>
          <w:color w:val="6E6E6E"/>
          <w:sz w:val="24"/>
          <w:szCs w:val="24"/>
          <w:lang w:val="en-US"/>
        </w:rPr>
        <w:t>compulsory insurance payments </w:t>
      </w:r>
      <w:r w:rsidRPr="00C40532">
        <w:rPr>
          <w:rFonts w:ascii="Times New Roman" w:hAnsi="Times New Roman" w:cs="Times New Roman"/>
          <w:color w:val="555555"/>
          <w:sz w:val="24"/>
          <w:szCs w:val="24"/>
          <w:lang w:val="en-US"/>
        </w:rPr>
        <w:t>by the Russian employers (organisations). As of 2016, the typical payment of the most part of organisations amounted to </w:t>
      </w:r>
      <w:r w:rsidRPr="00C40532">
        <w:rPr>
          <w:rFonts w:ascii="Times New Roman" w:hAnsi="Times New Roman" w:cs="Times New Roman"/>
          <w:b/>
          <w:bCs/>
          <w:color w:val="6E6E6E"/>
          <w:sz w:val="24"/>
          <w:szCs w:val="24"/>
          <w:lang w:val="en-US"/>
        </w:rPr>
        <w:t>5.1% of the salary fund </w:t>
      </w:r>
      <w:r w:rsidRPr="00C40532">
        <w:rPr>
          <w:rFonts w:ascii="Times New Roman" w:hAnsi="Times New Roman" w:cs="Times New Roman"/>
          <w:color w:val="555555"/>
          <w:sz w:val="24"/>
          <w:szCs w:val="24"/>
          <w:lang w:val="en-US"/>
        </w:rPr>
        <w:t>in accordance with article 12 of the federal law #212-</w:t>
      </w:r>
      <w:proofErr w:type="gramStart"/>
      <w:r w:rsidRPr="00C40532">
        <w:rPr>
          <w:rFonts w:ascii="Times New Roman" w:hAnsi="Times New Roman" w:cs="Times New Roman"/>
          <w:color w:val="555555"/>
          <w:sz w:val="24"/>
          <w:szCs w:val="24"/>
          <w:lang w:val="en-US"/>
        </w:rPr>
        <w:t>FZ</w:t>
      </w:r>
      <w:proofErr w:type="gramEnd"/>
      <w:r w:rsidR="00AA3725">
        <w:fldChar w:fldCharType="begin"/>
      </w:r>
      <w:r w:rsidR="00004B32" w:rsidRPr="008B4EEF">
        <w:rPr>
          <w:lang w:val="en-US"/>
        </w:rPr>
        <w:instrText>HYPERLINK "http://www.factosphere.com/pubfinance/budget/sources" \l "66" \o "Source: ConsultantPlus Date: 24.07.2009"</w:instrText>
      </w:r>
      <w:r w:rsidR="00AA3725">
        <w:fldChar w:fldCharType="separate"/>
      </w:r>
      <w:r w:rsidRPr="00C40532">
        <w:rPr>
          <w:rFonts w:ascii="Times New Roman" w:hAnsi="Times New Roman" w:cs="Times New Roman"/>
          <w:color w:val="408080"/>
          <w:sz w:val="24"/>
          <w:szCs w:val="24"/>
          <w:vertAlign w:val="superscript"/>
          <w:lang w:val="en-US"/>
        </w:rPr>
        <w:t>[66]</w:t>
      </w:r>
      <w:r w:rsidR="00AA3725">
        <w:fldChar w:fldCharType="end"/>
      </w:r>
      <w:r w:rsidRPr="00C40532">
        <w:rPr>
          <w:rFonts w:ascii="Times New Roman" w:hAnsi="Times New Roman" w:cs="Times New Roman"/>
          <w:color w:val="555555"/>
          <w:sz w:val="24"/>
          <w:szCs w:val="24"/>
          <w:lang w:val="en-US"/>
        </w:rPr>
        <w:t>.</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There are also sums reserved within the </w:t>
      </w:r>
      <w:r w:rsidRPr="00C40532">
        <w:rPr>
          <w:rFonts w:ascii="Times New Roman" w:hAnsi="Times New Roman" w:cs="Times New Roman"/>
          <w:b/>
          <w:bCs/>
          <w:color w:val="6E6E6E"/>
          <w:sz w:val="24"/>
          <w:szCs w:val="24"/>
          <w:lang w:val="en-US"/>
        </w:rPr>
        <w:t>budgets of subjects of the Federation </w:t>
      </w:r>
      <w:r w:rsidRPr="00C40532">
        <w:rPr>
          <w:rFonts w:ascii="Times New Roman" w:hAnsi="Times New Roman" w:cs="Times New Roman"/>
          <w:color w:val="555555"/>
          <w:sz w:val="24"/>
          <w:szCs w:val="24"/>
          <w:lang w:val="en-US"/>
        </w:rPr>
        <w:t>for </w:t>
      </w:r>
      <w:r w:rsidRPr="00C40532">
        <w:rPr>
          <w:rFonts w:ascii="Times New Roman" w:hAnsi="Times New Roman" w:cs="Times New Roman"/>
          <w:b/>
          <w:bCs/>
          <w:color w:val="6E6E6E"/>
          <w:sz w:val="24"/>
          <w:szCs w:val="24"/>
          <w:lang w:val="en-US"/>
        </w:rPr>
        <w:t>compulsory medical insurance of non-working people </w:t>
      </w:r>
      <w:r w:rsidRPr="00C40532">
        <w:rPr>
          <w:rFonts w:ascii="Times New Roman" w:hAnsi="Times New Roman" w:cs="Times New Roman"/>
          <w:color w:val="555555"/>
          <w:sz w:val="24"/>
          <w:szCs w:val="24"/>
          <w:lang w:val="en-US"/>
        </w:rPr>
        <w:t>as envisaged by article 23 of the federal law #326-FZ</w:t>
      </w:r>
      <w:r w:rsidR="00AA3725">
        <w:fldChar w:fldCharType="begin"/>
      </w:r>
      <w:r w:rsidR="00AA3725" w:rsidRPr="003E0431">
        <w:rPr>
          <w:lang w:val="en-US"/>
        </w:rPr>
        <w:instrText>HYPERLINK "http://www.factosphere.com/pubfinance/budget/sources" \l "67" \o "Source: ConsultantPlus
Date: 29.11.2010"</w:instrText>
      </w:r>
      <w:r w:rsidR="00AA3725">
        <w:fldChar w:fldCharType="separate"/>
      </w:r>
      <w:r w:rsidRPr="00C40532">
        <w:rPr>
          <w:rFonts w:ascii="Times New Roman" w:hAnsi="Times New Roman" w:cs="Times New Roman"/>
          <w:color w:val="408080"/>
          <w:sz w:val="24"/>
          <w:szCs w:val="24"/>
          <w:vertAlign w:val="superscript"/>
          <w:lang w:val="en-US"/>
        </w:rPr>
        <w:t>[67]</w:t>
      </w:r>
      <w:r w:rsidR="00AA3725">
        <w:fldChar w:fldCharType="end"/>
      </w:r>
      <w:r w:rsidRPr="00C40532">
        <w:rPr>
          <w:rFonts w:ascii="Times New Roman" w:hAnsi="Times New Roman" w:cs="Times New Roman"/>
          <w:color w:val="555555"/>
          <w:sz w:val="24"/>
          <w:szCs w:val="24"/>
          <w:lang w:val="en-US"/>
        </w:rPr>
        <w:t>. Those sums are transferred on monthly basis to the Federal Compulsory Medical Insurance Fund in accordance with article 24 of the mentioned law.</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lastRenderedPageBreak/>
        <w:t>Revenues of Federal Compulsory Medical Insurance Fund are </w:t>
      </w:r>
      <w:r w:rsidRPr="00C40532">
        <w:rPr>
          <w:rFonts w:ascii="Times New Roman" w:hAnsi="Times New Roman" w:cs="Times New Roman"/>
          <w:b/>
          <w:bCs/>
          <w:color w:val="6E6E6E"/>
          <w:sz w:val="24"/>
          <w:szCs w:val="24"/>
          <w:lang w:val="en-US"/>
        </w:rPr>
        <w:t>distributed </w:t>
      </w:r>
      <w:r w:rsidRPr="00C40532">
        <w:rPr>
          <w:rFonts w:ascii="Times New Roman" w:hAnsi="Times New Roman" w:cs="Times New Roman"/>
          <w:color w:val="555555"/>
          <w:sz w:val="24"/>
          <w:szCs w:val="24"/>
          <w:lang w:val="en-US"/>
        </w:rPr>
        <w:t>then between Territorial Funds of Compulsory Medical Insurance by means of </w:t>
      </w:r>
      <w:r w:rsidRPr="00C40532">
        <w:rPr>
          <w:rFonts w:ascii="Times New Roman" w:hAnsi="Times New Roman" w:cs="Times New Roman"/>
          <w:b/>
          <w:bCs/>
          <w:color w:val="6E6E6E"/>
          <w:sz w:val="24"/>
          <w:szCs w:val="24"/>
          <w:lang w:val="en-US"/>
        </w:rPr>
        <w:t>subventions </w:t>
      </w:r>
      <w:r w:rsidRPr="00C40532">
        <w:rPr>
          <w:rFonts w:ascii="Times New Roman" w:hAnsi="Times New Roman" w:cs="Times New Roman"/>
          <w:color w:val="555555"/>
          <w:sz w:val="24"/>
          <w:szCs w:val="24"/>
          <w:lang w:val="en-US"/>
        </w:rPr>
        <w:t>in accordance with Resolution of the Russian Government #462 dated May 5, 2012</w:t>
      </w:r>
      <w:r w:rsidR="00AA3725">
        <w:fldChar w:fldCharType="begin"/>
      </w:r>
      <w:r w:rsidR="00AA3725" w:rsidRPr="003E0431">
        <w:rPr>
          <w:lang w:val="en-US"/>
        </w:rPr>
        <w:instrText>HYPERLINK "http://www.factosphere.com/pubfinance/budget/sources" \l "68" \o "Source: 1Prime
Date: 05.05.2012"</w:instrText>
      </w:r>
      <w:r w:rsidR="00AA3725">
        <w:fldChar w:fldCharType="separate"/>
      </w:r>
      <w:r w:rsidRPr="00C40532">
        <w:rPr>
          <w:rFonts w:ascii="Times New Roman" w:hAnsi="Times New Roman" w:cs="Times New Roman"/>
          <w:color w:val="408080"/>
          <w:sz w:val="24"/>
          <w:szCs w:val="24"/>
          <w:vertAlign w:val="superscript"/>
          <w:lang w:val="en-US"/>
        </w:rPr>
        <w:t>[68]</w:t>
      </w:r>
      <w:r w:rsidR="00AA3725">
        <w:fldChar w:fldCharType="end"/>
      </w:r>
      <w:r w:rsidRPr="00C40532">
        <w:rPr>
          <w:rFonts w:ascii="Times New Roman" w:hAnsi="Times New Roman" w:cs="Times New Roman"/>
          <w:color w:val="555555"/>
          <w:sz w:val="24"/>
          <w:szCs w:val="24"/>
          <w:lang w:val="en-US"/>
        </w:rPr>
        <w:t>.</w:t>
      </w:r>
    </w:p>
    <w:p w:rsidR="00472A60" w:rsidRPr="00C40532" w:rsidRDefault="00472A60" w:rsidP="00472A60">
      <w:pPr>
        <w:shd w:val="clear" w:color="auto" w:fill="FFFFFF"/>
        <w:spacing w:after="0" w:line="240" w:lineRule="auto"/>
        <w:jc w:val="both"/>
        <w:rPr>
          <w:rFonts w:ascii="Times New Roman" w:hAnsi="Times New Roman" w:cs="Times New Roman"/>
          <w:b/>
          <w:bCs/>
          <w:color w:val="555555"/>
          <w:sz w:val="24"/>
          <w:szCs w:val="24"/>
          <w:lang w:val="en-US"/>
        </w:rPr>
      </w:pPr>
      <w:r w:rsidRPr="00C40532">
        <w:rPr>
          <w:rFonts w:ascii="Times New Roman" w:hAnsi="Times New Roman" w:cs="Times New Roman"/>
          <w:b/>
          <w:bCs/>
          <w:color w:val="555555"/>
          <w:sz w:val="24"/>
          <w:szCs w:val="24"/>
          <w:lang w:val="en-US"/>
        </w:rPr>
        <w:br/>
        <w:t xml:space="preserve">Formation and Primary Distribution of Funds </w:t>
      </w:r>
      <w:proofErr w:type="gramStart"/>
      <w:r w:rsidRPr="00C40532">
        <w:rPr>
          <w:rFonts w:ascii="Times New Roman" w:hAnsi="Times New Roman" w:cs="Times New Roman"/>
          <w:b/>
          <w:bCs/>
          <w:color w:val="555555"/>
          <w:sz w:val="24"/>
          <w:szCs w:val="24"/>
          <w:lang w:val="en-US"/>
        </w:rPr>
        <w:t>Within</w:t>
      </w:r>
      <w:proofErr w:type="gramEnd"/>
      <w:r w:rsidRPr="00C40532">
        <w:rPr>
          <w:rFonts w:ascii="Times New Roman" w:hAnsi="Times New Roman" w:cs="Times New Roman"/>
          <w:b/>
          <w:bCs/>
          <w:color w:val="555555"/>
          <w:sz w:val="24"/>
          <w:szCs w:val="24"/>
          <w:lang w:val="en-US"/>
        </w:rPr>
        <w:t xml:space="preserve"> the Russian Compulsory Medical Insurance System</w:t>
      </w:r>
    </w:p>
    <w:p w:rsidR="00472A60" w:rsidRPr="00C40532" w:rsidRDefault="00472A60" w:rsidP="00472A60">
      <w:pPr>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5948680" cy="2011680"/>
            <wp:effectExtent l="19050" t="0" r="0" b="0"/>
            <wp:docPr id="22" name="Рисунок 22" descr="http://www.factosphere.com/data/pubfinance/budget/pic/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factosphere.com/data/pubfinance/budget/pic/31@1.png"/>
                    <pic:cNvPicPr>
                      <a:picLocks noChangeAspect="1" noChangeArrowheads="1"/>
                    </pic:cNvPicPr>
                  </pic:nvPicPr>
                  <pic:blipFill>
                    <a:blip r:embed="rId87" cstate="print"/>
                    <a:srcRect/>
                    <a:stretch>
                      <a:fillRect/>
                    </a:stretch>
                  </pic:blipFill>
                  <pic:spPr bwMode="auto">
                    <a:xfrm>
                      <a:off x="0" y="0"/>
                      <a:ext cx="5948680" cy="2011680"/>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Source: compilation of factosphere.com based on corresponding regulations and legislative acts.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w:t>
      </w:r>
      <w:r w:rsidRPr="00C40532">
        <w:rPr>
          <w:rFonts w:ascii="Times New Roman" w:hAnsi="Times New Roman" w:cs="Times New Roman"/>
          <w:b/>
          <w:bCs/>
          <w:color w:val="6E6E6E"/>
          <w:sz w:val="24"/>
          <w:szCs w:val="24"/>
          <w:lang w:val="en-US"/>
        </w:rPr>
        <w:t>planned key indicators of the budget </w:t>
      </w:r>
      <w:r w:rsidRPr="00C40532">
        <w:rPr>
          <w:rFonts w:ascii="Times New Roman" w:hAnsi="Times New Roman" w:cs="Times New Roman"/>
          <w:color w:val="555555"/>
          <w:sz w:val="24"/>
          <w:szCs w:val="24"/>
          <w:lang w:val="en-US"/>
        </w:rPr>
        <w:t>of the Federal Compulsory Medical Insurance Fund for each year are stated in dedicated federal laws that are coordinated with appropriate laws on the federal budget. For the year 2016 that was the federal law #365-FZ “On the Budget of Federal Compulsory Medical Insurance Fund for 2016” dated December 14, 2015.</w:t>
      </w:r>
      <w:r w:rsidR="00AA3725">
        <w:fldChar w:fldCharType="begin"/>
      </w:r>
      <w:r w:rsidR="00AA3725" w:rsidRPr="003E0431">
        <w:rPr>
          <w:lang w:val="en-US"/>
        </w:rPr>
        <w:instrText>HYPERLINK "http://www.factosphere.com/pubfinance/budget/sources" \l "69" \o "Source: ConsultantPlus
Date: 14.12.2015"</w:instrText>
      </w:r>
      <w:r w:rsidR="00AA3725">
        <w:fldChar w:fldCharType="separate"/>
      </w:r>
      <w:r w:rsidRPr="00C40532">
        <w:rPr>
          <w:rFonts w:ascii="Times New Roman" w:hAnsi="Times New Roman" w:cs="Times New Roman"/>
          <w:color w:val="408080"/>
          <w:sz w:val="24"/>
          <w:szCs w:val="24"/>
          <w:vertAlign w:val="superscript"/>
          <w:lang w:val="en-US"/>
        </w:rPr>
        <w:t>[69]</w:t>
      </w:r>
      <w:r w:rsidR="00AA3725">
        <w:fldChar w:fldCharType="end"/>
      </w:r>
      <w:r w:rsidRPr="00C40532">
        <w:rPr>
          <w:rFonts w:ascii="Times New Roman" w:hAnsi="Times New Roman" w:cs="Times New Roman"/>
          <w:color w:val="555555"/>
          <w:sz w:val="24"/>
          <w:szCs w:val="24"/>
          <w:lang w:val="en-US"/>
        </w:rPr>
        <w:t> The mentioned law also provides the list of the key administrators of revenues of the Fund, the list of the key administrators of sources of the Fund’s budget deficit coverage, the list of sources of internal financing of the Fund’s budget deficit, planned structure of the Fund’s budget outlays and planned distribution of subventions between territorial funds.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It is noticeable that the </w:t>
      </w:r>
      <w:r w:rsidRPr="00C40532">
        <w:rPr>
          <w:rFonts w:ascii="Times New Roman" w:hAnsi="Times New Roman" w:cs="Times New Roman"/>
          <w:b/>
          <w:bCs/>
          <w:color w:val="6E6E6E"/>
          <w:sz w:val="24"/>
          <w:szCs w:val="24"/>
          <w:lang w:val="en-US"/>
        </w:rPr>
        <w:t>administration of the compulsory insurance payments </w:t>
      </w:r>
      <w:r w:rsidRPr="00C40532">
        <w:rPr>
          <w:rFonts w:ascii="Times New Roman" w:hAnsi="Times New Roman" w:cs="Times New Roman"/>
          <w:color w:val="555555"/>
          <w:sz w:val="24"/>
          <w:szCs w:val="24"/>
          <w:lang w:val="en-US"/>
        </w:rPr>
        <w:t>to the Federal Compulsory Medical Insurance Fund is carried out primarily by </w:t>
      </w:r>
      <w:r w:rsidRPr="00C40532">
        <w:rPr>
          <w:rFonts w:ascii="Times New Roman" w:hAnsi="Times New Roman" w:cs="Times New Roman"/>
          <w:b/>
          <w:bCs/>
          <w:color w:val="6E6E6E"/>
          <w:sz w:val="24"/>
          <w:szCs w:val="24"/>
          <w:lang w:val="en-US"/>
        </w:rPr>
        <w:t>the Pension Fund of the Russian Federation </w:t>
      </w:r>
      <w:r w:rsidRPr="00C40532">
        <w:rPr>
          <w:rFonts w:ascii="Times New Roman" w:hAnsi="Times New Roman" w:cs="Times New Roman"/>
          <w:color w:val="555555"/>
          <w:sz w:val="24"/>
          <w:szCs w:val="24"/>
          <w:lang w:val="en-US"/>
        </w:rPr>
        <w:t>(until 2017, while the Federal Tax Service will be the major body responsible for administration afterwards). For that purpose employers provide combined reporting on pension insurance payments and medical insurance payments to the Pension Fund of Russia on quarterly basis.</w:t>
      </w:r>
    </w:p>
    <w:p w:rsidR="00472A60" w:rsidRPr="00C40532" w:rsidRDefault="00472A60" w:rsidP="00472A60">
      <w:pPr>
        <w:shd w:val="clear" w:color="auto" w:fill="FFFFFF"/>
        <w:spacing w:after="0" w:line="240" w:lineRule="auto"/>
        <w:jc w:val="both"/>
        <w:rPr>
          <w:rFonts w:ascii="Times New Roman" w:hAnsi="Times New Roman" w:cs="Times New Roman"/>
          <w:b/>
          <w:bCs/>
          <w:color w:val="FF6600"/>
          <w:sz w:val="24"/>
          <w:szCs w:val="24"/>
          <w:lang w:val="en-US"/>
        </w:rPr>
      </w:pPr>
      <w:r w:rsidRPr="00C40532">
        <w:rPr>
          <w:rFonts w:ascii="Times New Roman" w:hAnsi="Times New Roman" w:cs="Times New Roman"/>
          <w:b/>
          <w:bCs/>
          <w:color w:val="FF6600"/>
          <w:sz w:val="24"/>
          <w:szCs w:val="24"/>
          <w:lang w:val="en-US"/>
        </w:rPr>
        <w:br/>
      </w:r>
      <w:r w:rsidRPr="00C40532">
        <w:rPr>
          <w:rFonts w:ascii="Times New Roman" w:hAnsi="Times New Roman" w:cs="Times New Roman"/>
          <w:b/>
          <w:bCs/>
          <w:color w:val="FF6600"/>
          <w:sz w:val="24"/>
          <w:szCs w:val="24"/>
          <w:lang w:val="en-US"/>
        </w:rPr>
        <w:br/>
        <w:t>Territorial Funds of Compulsory Medical Insurance</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 xml:space="preserve">The Territorial Funds of Compulsory Medical Insurance (single: Territorialniy Fond Obyazatelnogo Meditsinskogo Strakhovaniya, </w:t>
      </w:r>
      <w:r w:rsidRPr="00C40532">
        <w:rPr>
          <w:rFonts w:ascii="Times New Roman" w:hAnsi="Times New Roman" w:cs="Times New Roman"/>
          <w:color w:val="555555"/>
          <w:sz w:val="24"/>
          <w:szCs w:val="24"/>
        </w:rPr>
        <w:t>Территориальный</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Фонд</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Обязательного</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Медицинского</w:t>
      </w:r>
      <w:r w:rsidRPr="00C40532">
        <w:rPr>
          <w:rFonts w:ascii="Times New Roman" w:hAnsi="Times New Roman" w:cs="Times New Roman"/>
          <w:color w:val="555555"/>
          <w:sz w:val="24"/>
          <w:szCs w:val="24"/>
          <w:lang w:val="en-US"/>
        </w:rPr>
        <w:t xml:space="preserve"> </w:t>
      </w:r>
      <w:r w:rsidRPr="00C40532">
        <w:rPr>
          <w:rFonts w:ascii="Times New Roman" w:hAnsi="Times New Roman" w:cs="Times New Roman"/>
          <w:color w:val="555555"/>
          <w:sz w:val="24"/>
          <w:szCs w:val="24"/>
        </w:rPr>
        <w:t>Страхования</w:t>
      </w:r>
      <w:r w:rsidRPr="00C40532">
        <w:rPr>
          <w:rFonts w:ascii="Times New Roman" w:hAnsi="Times New Roman" w:cs="Times New Roman"/>
          <w:color w:val="555555"/>
          <w:sz w:val="24"/>
          <w:szCs w:val="24"/>
          <w:lang w:val="en-US"/>
        </w:rPr>
        <w:t>) are </w:t>
      </w:r>
      <w:r w:rsidRPr="00C40532">
        <w:rPr>
          <w:rFonts w:ascii="Times New Roman" w:hAnsi="Times New Roman" w:cs="Times New Roman"/>
          <w:b/>
          <w:bCs/>
          <w:color w:val="6E6E6E"/>
          <w:sz w:val="24"/>
          <w:szCs w:val="24"/>
          <w:lang w:val="en-US"/>
        </w:rPr>
        <w:t>non-commercial organisations established by subjects of the Federation </w:t>
      </w:r>
      <w:r w:rsidRPr="00C40532">
        <w:rPr>
          <w:rFonts w:ascii="Times New Roman" w:hAnsi="Times New Roman" w:cs="Times New Roman"/>
          <w:color w:val="555555"/>
          <w:sz w:val="24"/>
          <w:szCs w:val="24"/>
          <w:lang w:val="en-US"/>
        </w:rPr>
        <w:t>that are responsible for </w:t>
      </w:r>
      <w:r w:rsidRPr="00C40532">
        <w:rPr>
          <w:rFonts w:ascii="Times New Roman" w:hAnsi="Times New Roman" w:cs="Times New Roman"/>
          <w:b/>
          <w:bCs/>
          <w:color w:val="6E6E6E"/>
          <w:sz w:val="24"/>
          <w:szCs w:val="24"/>
          <w:lang w:val="en-US"/>
        </w:rPr>
        <w:t>implementation of compulsory medical insurance policy within specific Russian regions</w:t>
      </w:r>
      <w:r w:rsidRPr="00C40532">
        <w:rPr>
          <w:rFonts w:ascii="Times New Roman" w:hAnsi="Times New Roman" w:cs="Times New Roman"/>
          <w:color w:val="555555"/>
          <w:sz w:val="24"/>
          <w:szCs w:val="24"/>
          <w:lang w:val="en-US"/>
        </w:rPr>
        <w:t>. For that purpose Territorial Funds receive subventions from the Federal Compulsory Medical Insurance Fund and secure provision of proper medical services to insured persons.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w:t>
      </w:r>
      <w:r w:rsidRPr="00C40532">
        <w:rPr>
          <w:rFonts w:ascii="Times New Roman" w:hAnsi="Times New Roman" w:cs="Times New Roman"/>
          <w:b/>
          <w:bCs/>
          <w:color w:val="6E6E6E"/>
          <w:sz w:val="24"/>
          <w:szCs w:val="24"/>
          <w:lang w:val="en-US"/>
        </w:rPr>
        <w:t>annual budgets </w:t>
      </w:r>
      <w:r w:rsidRPr="00C40532">
        <w:rPr>
          <w:rFonts w:ascii="Times New Roman" w:hAnsi="Times New Roman" w:cs="Times New Roman"/>
          <w:color w:val="555555"/>
          <w:sz w:val="24"/>
          <w:szCs w:val="24"/>
          <w:lang w:val="en-US"/>
        </w:rPr>
        <w:t>of Territorial Funds are </w:t>
      </w:r>
      <w:r w:rsidRPr="00C40532">
        <w:rPr>
          <w:rFonts w:ascii="Times New Roman" w:hAnsi="Times New Roman" w:cs="Times New Roman"/>
          <w:b/>
          <w:bCs/>
          <w:color w:val="6E6E6E"/>
          <w:sz w:val="24"/>
          <w:szCs w:val="24"/>
          <w:lang w:val="en-US"/>
        </w:rPr>
        <w:t>approved by the legislative power bodies of appropriate subjects of Federation</w:t>
      </w:r>
      <w:r w:rsidRPr="00C40532">
        <w:rPr>
          <w:rFonts w:ascii="Times New Roman" w:hAnsi="Times New Roman" w:cs="Times New Roman"/>
          <w:color w:val="555555"/>
          <w:sz w:val="24"/>
          <w:szCs w:val="24"/>
          <w:lang w:val="en-US"/>
        </w:rPr>
        <w:t>. For instance, the territorial fund budget of the city of St. Petersburg for 2016 was approved by the law of St. Petersburg “On the Budget of Territorial Fund of Compulsory Medical Insurance of St. Petersburg for 2016 and the Planning Period of 2017 and 2018” dated November 25, 2015.</w:t>
      </w:r>
      <w:r w:rsidR="00AA3725">
        <w:fldChar w:fldCharType="begin"/>
      </w:r>
      <w:r w:rsidR="00AA3725" w:rsidRPr="003E0431">
        <w:rPr>
          <w:lang w:val="en-US"/>
        </w:rPr>
        <w:instrText>HYPERLINK "http://www.factosphere.com/pubfinance/budget/sources" \l "70" \o "Source: Digital Fund of the Legal Documents and Documentation on Technical Standards
Date: 25.11.2015"</w:instrText>
      </w:r>
      <w:r w:rsidR="00AA3725">
        <w:fldChar w:fldCharType="separate"/>
      </w:r>
      <w:r w:rsidRPr="00C40532">
        <w:rPr>
          <w:rFonts w:ascii="Times New Roman" w:hAnsi="Times New Roman" w:cs="Times New Roman"/>
          <w:color w:val="408080"/>
          <w:sz w:val="24"/>
          <w:szCs w:val="24"/>
          <w:vertAlign w:val="superscript"/>
          <w:lang w:val="en-US"/>
        </w:rPr>
        <w:t>[70]</w:t>
      </w:r>
      <w:r w:rsidR="00AA3725">
        <w:fldChar w:fldCharType="end"/>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lastRenderedPageBreak/>
        <w:t>As of the mid-2016, there were 86 territorial funds of compulsory medical insurance operating in Russia (one fund for each subject of the Federation and additional fund in the town of Baikonur hosting the Russian space launch base leased from Kazakhstan).</w:t>
      </w:r>
      <w:r w:rsidR="00AA3725">
        <w:fldChar w:fldCharType="begin"/>
      </w:r>
      <w:r w:rsidR="00AA3725" w:rsidRPr="003E0431">
        <w:rPr>
          <w:lang w:val="en-US"/>
        </w:rPr>
        <w:instrText>HYPERLINK "http://www.factosphere.com/pubfinance/budget/sources" \l "71" \o "Source: Federal Compulsory Medical Insurance Fund
Date: 12.08.2016"</w:instrText>
      </w:r>
      <w:r w:rsidR="00AA3725">
        <w:fldChar w:fldCharType="separate"/>
      </w:r>
      <w:r w:rsidRPr="00C40532">
        <w:rPr>
          <w:rFonts w:ascii="Times New Roman" w:hAnsi="Times New Roman" w:cs="Times New Roman"/>
          <w:color w:val="408080"/>
          <w:sz w:val="24"/>
          <w:szCs w:val="24"/>
          <w:vertAlign w:val="superscript"/>
          <w:lang w:val="en-US"/>
        </w:rPr>
        <w:t>[71]</w:t>
      </w:r>
      <w:r w:rsidR="00AA3725">
        <w:fldChar w:fldCharType="end"/>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Territorial Funds operate in accordance with article 13 of the federal law #326-FZ</w:t>
      </w:r>
      <w:hyperlink r:id="rId88" w:anchor="72" w:tooltip="Source: ConsultantPlus&#10;Date: 29.11.2010" w:history="1">
        <w:r w:rsidRPr="00C40532">
          <w:rPr>
            <w:rFonts w:ascii="Times New Roman" w:hAnsi="Times New Roman" w:cs="Times New Roman"/>
            <w:color w:val="408080"/>
            <w:sz w:val="24"/>
            <w:szCs w:val="24"/>
            <w:vertAlign w:val="superscript"/>
            <w:lang w:val="en-US"/>
          </w:rPr>
          <w:t>[72]</w:t>
        </w:r>
      </w:hyperlink>
      <w:r w:rsidRPr="00C40532">
        <w:rPr>
          <w:rFonts w:ascii="Times New Roman" w:hAnsi="Times New Roman" w:cs="Times New Roman"/>
          <w:color w:val="555555"/>
          <w:sz w:val="24"/>
          <w:szCs w:val="24"/>
          <w:lang w:val="en-US"/>
        </w:rPr>
        <w:t>, while the </w:t>
      </w:r>
      <w:r w:rsidRPr="00C40532">
        <w:rPr>
          <w:rFonts w:ascii="Times New Roman" w:hAnsi="Times New Roman" w:cs="Times New Roman"/>
          <w:b/>
          <w:bCs/>
          <w:color w:val="6E6E6E"/>
          <w:sz w:val="24"/>
          <w:szCs w:val="24"/>
          <w:lang w:val="en-US"/>
        </w:rPr>
        <w:t>exact distribution of subventions between territorial funds </w:t>
      </w:r>
      <w:r w:rsidRPr="00C40532">
        <w:rPr>
          <w:rFonts w:ascii="Times New Roman" w:hAnsi="Times New Roman" w:cs="Times New Roman"/>
          <w:color w:val="555555"/>
          <w:sz w:val="24"/>
          <w:szCs w:val="24"/>
          <w:lang w:val="en-US"/>
        </w:rPr>
        <w:t>can be found in appendices to annually adopted laws on the budget of the Federal Compulsory Medical Insurance Fund (for 2016: the federal law #365-FZ “On the Budget of Federal Compulsory Medical Insurance Fund for 2016” dated December 14, 2015.</w:t>
      </w:r>
      <w:hyperlink r:id="rId89" w:anchor="73" w:tooltip="Source: ConsultantPlus&#10;Date: 14.12.2015" w:history="1">
        <w:proofErr w:type="gramStart"/>
        <w:r w:rsidRPr="00C40532">
          <w:rPr>
            <w:rFonts w:ascii="Times New Roman" w:hAnsi="Times New Roman" w:cs="Times New Roman"/>
            <w:color w:val="408080"/>
            <w:sz w:val="24"/>
            <w:szCs w:val="24"/>
            <w:vertAlign w:val="superscript"/>
            <w:lang w:val="en-US"/>
          </w:rPr>
          <w:t>[73]</w:t>
        </w:r>
      </w:hyperlink>
      <w:r w:rsidRPr="00C40532">
        <w:rPr>
          <w:rFonts w:ascii="Times New Roman" w:hAnsi="Times New Roman" w:cs="Times New Roman"/>
          <w:color w:val="555555"/>
          <w:sz w:val="24"/>
          <w:szCs w:val="24"/>
          <w:lang w:val="en-US"/>
        </w:rPr>
        <w:t>).</w:t>
      </w:r>
      <w:proofErr w:type="gramEnd"/>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In addition to the Territorial Funds, the Russian compulsory medical insurance system is implemented at regional level with participation of licensed </w:t>
      </w:r>
      <w:r w:rsidRPr="00C40532">
        <w:rPr>
          <w:rFonts w:ascii="Times New Roman" w:hAnsi="Times New Roman" w:cs="Times New Roman"/>
          <w:b/>
          <w:bCs/>
          <w:color w:val="6E6E6E"/>
          <w:sz w:val="24"/>
          <w:szCs w:val="24"/>
          <w:lang w:val="en-US"/>
        </w:rPr>
        <w:t>medical insurance organisations </w:t>
      </w:r>
      <w:r w:rsidRPr="00C40532">
        <w:rPr>
          <w:rFonts w:ascii="Times New Roman" w:hAnsi="Times New Roman" w:cs="Times New Roman"/>
          <w:color w:val="555555"/>
          <w:sz w:val="24"/>
          <w:szCs w:val="24"/>
          <w:lang w:val="en-US"/>
        </w:rPr>
        <w:t>that are authorized to issue compulsory insurance policies to private persons (operate according to article 14 of the federal law #326-FZ</w:t>
      </w:r>
      <w:r w:rsidR="00AA3725">
        <w:fldChar w:fldCharType="begin"/>
      </w:r>
      <w:r w:rsidR="00AA3725" w:rsidRPr="003E0431">
        <w:rPr>
          <w:lang w:val="en-US"/>
        </w:rPr>
        <w:instrText>HYPERLINK "http://www.factosphere.com/pubfinance/budget/sources" \l "74" \o "Source: ConsultantPlus
Date: 29.11.2010"</w:instrText>
      </w:r>
      <w:r w:rsidR="00AA3725">
        <w:fldChar w:fldCharType="separate"/>
      </w:r>
      <w:r w:rsidRPr="00C40532">
        <w:rPr>
          <w:rFonts w:ascii="Times New Roman" w:hAnsi="Times New Roman" w:cs="Times New Roman"/>
          <w:color w:val="408080"/>
          <w:sz w:val="24"/>
          <w:szCs w:val="24"/>
          <w:vertAlign w:val="superscript"/>
          <w:lang w:val="en-US"/>
        </w:rPr>
        <w:t>[74]</w:t>
      </w:r>
      <w:r w:rsidR="00AA3725">
        <w:fldChar w:fldCharType="end"/>
      </w:r>
      <w:r w:rsidRPr="00C40532">
        <w:rPr>
          <w:rFonts w:ascii="Times New Roman" w:hAnsi="Times New Roman" w:cs="Times New Roman"/>
          <w:color w:val="555555"/>
          <w:sz w:val="24"/>
          <w:szCs w:val="24"/>
          <w:lang w:val="en-US"/>
        </w:rPr>
        <w:t>) and also licensed </w:t>
      </w:r>
      <w:r w:rsidRPr="00C40532">
        <w:rPr>
          <w:rFonts w:ascii="Times New Roman" w:hAnsi="Times New Roman" w:cs="Times New Roman"/>
          <w:b/>
          <w:bCs/>
          <w:color w:val="6E6E6E"/>
          <w:sz w:val="24"/>
          <w:szCs w:val="24"/>
          <w:lang w:val="en-US"/>
        </w:rPr>
        <w:t>medical organisations </w:t>
      </w:r>
      <w:r w:rsidRPr="00C40532">
        <w:rPr>
          <w:rFonts w:ascii="Times New Roman" w:hAnsi="Times New Roman" w:cs="Times New Roman"/>
          <w:color w:val="555555"/>
          <w:sz w:val="24"/>
          <w:szCs w:val="24"/>
          <w:lang w:val="en-US"/>
        </w:rPr>
        <w:t>that render medical services (operate according to article 15 of the federal law #326-FZ</w:t>
      </w:r>
      <w:r w:rsidR="00AA3725">
        <w:fldChar w:fldCharType="begin"/>
      </w:r>
      <w:r w:rsidR="00AA3725" w:rsidRPr="003E0431">
        <w:rPr>
          <w:lang w:val="en-US"/>
        </w:rPr>
        <w:instrText>HYPERLINK "http://www.factosphere.com/pubfinance/budget/sources" \l "75" \o "Source: ConsultantPlus
Date: 29.11.2010"</w:instrText>
      </w:r>
      <w:r w:rsidR="00AA3725">
        <w:fldChar w:fldCharType="separate"/>
      </w:r>
      <w:r w:rsidRPr="00C40532">
        <w:rPr>
          <w:rFonts w:ascii="Times New Roman" w:hAnsi="Times New Roman" w:cs="Times New Roman"/>
          <w:color w:val="408080"/>
          <w:sz w:val="24"/>
          <w:szCs w:val="24"/>
          <w:vertAlign w:val="superscript"/>
          <w:lang w:val="en-US"/>
        </w:rPr>
        <w:t>[75]</w:t>
      </w:r>
      <w:r w:rsidR="00AA3725">
        <w:fldChar w:fldCharType="end"/>
      </w:r>
      <w:r w:rsidRPr="00C40532">
        <w:rPr>
          <w:rFonts w:ascii="Times New Roman" w:hAnsi="Times New Roman" w:cs="Times New Roman"/>
          <w:color w:val="555555"/>
          <w:sz w:val="24"/>
          <w:szCs w:val="24"/>
          <w:lang w:val="en-US"/>
        </w:rPr>
        <w:t>).</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As of the mid-2016, the Russian register of medical insurance organisations comprised totally 324 insurance companies</w:t>
      </w:r>
      <w:r w:rsidR="00AA3725">
        <w:fldChar w:fldCharType="begin"/>
      </w:r>
      <w:r w:rsidR="00AA3725" w:rsidRPr="003E0431">
        <w:rPr>
          <w:lang w:val="en-US"/>
        </w:rPr>
        <w:instrText>HYPERLINK "http://www.factosphere.com/pubfinance/budget/sources" \l "76" \o "Source: Federal Compulsory Medical Insurance Fund
Date: 16.08.2016"</w:instrText>
      </w:r>
      <w:r w:rsidR="00AA3725">
        <w:fldChar w:fldCharType="separate"/>
      </w:r>
      <w:r w:rsidRPr="00C40532">
        <w:rPr>
          <w:rFonts w:ascii="Times New Roman" w:hAnsi="Times New Roman" w:cs="Times New Roman"/>
          <w:color w:val="408080"/>
          <w:sz w:val="24"/>
          <w:szCs w:val="24"/>
          <w:vertAlign w:val="superscript"/>
          <w:lang w:val="en-US"/>
        </w:rPr>
        <w:t>[76]</w:t>
      </w:r>
      <w:r w:rsidR="00AA3725">
        <w:fldChar w:fldCharType="end"/>
      </w:r>
      <w:r w:rsidRPr="00C40532">
        <w:rPr>
          <w:rFonts w:ascii="Times New Roman" w:hAnsi="Times New Roman" w:cs="Times New Roman"/>
          <w:color w:val="555555"/>
          <w:sz w:val="24"/>
          <w:szCs w:val="24"/>
          <w:lang w:val="en-US"/>
        </w:rPr>
        <w:t>, while the register of medical organisations comprised 9 717 medical services providers</w:t>
      </w:r>
      <w:r w:rsidR="00AA3725">
        <w:fldChar w:fldCharType="begin"/>
      </w:r>
      <w:r w:rsidR="00AA3725" w:rsidRPr="003E0431">
        <w:rPr>
          <w:lang w:val="en-US"/>
        </w:rPr>
        <w:instrText>HYPERLINK "http://www.factosphere.com/pubfinance/budget/sources" \l "77" \o "Source: Federal Compulsory Medical Insurance Fund
Date: 16.08.2016"</w:instrText>
      </w:r>
      <w:r w:rsidR="00AA3725">
        <w:fldChar w:fldCharType="separate"/>
      </w:r>
      <w:r w:rsidRPr="00C40532">
        <w:rPr>
          <w:rFonts w:ascii="Times New Roman" w:hAnsi="Times New Roman" w:cs="Times New Roman"/>
          <w:color w:val="408080"/>
          <w:sz w:val="24"/>
          <w:szCs w:val="24"/>
          <w:vertAlign w:val="superscript"/>
          <w:lang w:val="en-US"/>
        </w:rPr>
        <w:t>[77]</w:t>
      </w:r>
      <w:r w:rsidR="00AA3725">
        <w:fldChar w:fldCharType="end"/>
      </w:r>
      <w:r w:rsidRPr="00C40532">
        <w:rPr>
          <w:rFonts w:ascii="Times New Roman" w:hAnsi="Times New Roman" w:cs="Times New Roman"/>
          <w:color w:val="555555"/>
          <w:sz w:val="24"/>
          <w:szCs w:val="24"/>
          <w:lang w:val="en-US"/>
        </w:rPr>
        <w:t>.</w:t>
      </w:r>
    </w:p>
    <w:p w:rsidR="00472A60" w:rsidRPr="00C40532" w:rsidRDefault="00472A60" w:rsidP="00472A60">
      <w:pPr>
        <w:shd w:val="clear" w:color="auto" w:fill="FFFFFF"/>
        <w:spacing w:after="0" w:line="240" w:lineRule="auto"/>
        <w:jc w:val="both"/>
        <w:rPr>
          <w:rFonts w:ascii="Times New Roman" w:hAnsi="Times New Roman" w:cs="Times New Roman"/>
          <w:b/>
          <w:bCs/>
          <w:color w:val="555555"/>
          <w:sz w:val="24"/>
          <w:szCs w:val="24"/>
          <w:lang w:val="en-US"/>
        </w:rPr>
      </w:pPr>
      <w:r w:rsidRPr="00C40532">
        <w:rPr>
          <w:rFonts w:ascii="Times New Roman" w:hAnsi="Times New Roman" w:cs="Times New Roman"/>
          <w:b/>
          <w:bCs/>
          <w:color w:val="555555"/>
          <w:sz w:val="24"/>
          <w:szCs w:val="24"/>
          <w:lang w:val="en-US"/>
        </w:rPr>
        <w:br/>
        <w:t xml:space="preserve">Relations </w:t>
      </w:r>
      <w:proofErr w:type="gramStart"/>
      <w:r w:rsidRPr="00C40532">
        <w:rPr>
          <w:rFonts w:ascii="Times New Roman" w:hAnsi="Times New Roman" w:cs="Times New Roman"/>
          <w:b/>
          <w:bCs/>
          <w:color w:val="555555"/>
          <w:sz w:val="24"/>
          <w:szCs w:val="24"/>
          <w:lang w:val="en-US"/>
        </w:rPr>
        <w:t>Between</w:t>
      </w:r>
      <w:proofErr w:type="gramEnd"/>
      <w:r w:rsidRPr="00C40532">
        <w:rPr>
          <w:rFonts w:ascii="Times New Roman" w:hAnsi="Times New Roman" w:cs="Times New Roman"/>
          <w:b/>
          <w:bCs/>
          <w:color w:val="555555"/>
          <w:sz w:val="24"/>
          <w:szCs w:val="24"/>
          <w:lang w:val="en-US"/>
        </w:rPr>
        <w:t xml:space="preserve"> Participants of the Russian Compulsory Medical Insurance System</w:t>
      </w:r>
    </w:p>
    <w:p w:rsidR="00472A60" w:rsidRPr="00C40532" w:rsidRDefault="00472A60" w:rsidP="00472A60">
      <w:pPr>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5948680" cy="2818765"/>
            <wp:effectExtent l="19050" t="0" r="0" b="0"/>
            <wp:docPr id="23" name="Рисунок 23" descr="http://www.factosphere.com/data/pubfinance/budget/pic/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factosphere.com/data/pubfinance/budget/pic/32@1.png"/>
                    <pic:cNvPicPr>
                      <a:picLocks noChangeAspect="1" noChangeArrowheads="1"/>
                    </pic:cNvPicPr>
                  </pic:nvPicPr>
                  <pic:blipFill>
                    <a:blip r:embed="rId90" cstate="print"/>
                    <a:srcRect/>
                    <a:stretch>
                      <a:fillRect/>
                    </a:stretch>
                  </pic:blipFill>
                  <pic:spPr bwMode="auto">
                    <a:xfrm>
                      <a:off x="0" y="0"/>
                      <a:ext cx="5948680" cy="2818765"/>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Source: compilation of factosphere.com based on corresponding regulations and legislative acts.</w:t>
      </w:r>
    </w:p>
    <w:p w:rsidR="00472A60" w:rsidRPr="00C40532" w:rsidRDefault="00472A60" w:rsidP="00472A60">
      <w:pPr>
        <w:shd w:val="clear" w:color="auto" w:fill="FFFFFF"/>
        <w:spacing w:after="0" w:line="240" w:lineRule="auto"/>
        <w:jc w:val="both"/>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t>The Russian compulsory medical insurance system secures the </w:t>
      </w:r>
      <w:r w:rsidRPr="00C40532">
        <w:rPr>
          <w:rFonts w:ascii="Times New Roman" w:hAnsi="Times New Roman" w:cs="Times New Roman"/>
          <w:b/>
          <w:bCs/>
          <w:color w:val="6E6E6E"/>
          <w:sz w:val="24"/>
          <w:szCs w:val="24"/>
          <w:lang w:val="en-US"/>
        </w:rPr>
        <w:t>right of a person to choose a medical insurance organisation, a medical organisation and also specific doctor </w:t>
      </w:r>
      <w:r w:rsidRPr="00C40532">
        <w:rPr>
          <w:rFonts w:ascii="Times New Roman" w:hAnsi="Times New Roman" w:cs="Times New Roman"/>
          <w:color w:val="555555"/>
          <w:sz w:val="24"/>
          <w:szCs w:val="24"/>
          <w:lang w:val="en-US"/>
        </w:rPr>
        <w:t>within a medical organisation. A medical insurance organisation provides a </w:t>
      </w:r>
      <w:r w:rsidRPr="00C40532">
        <w:rPr>
          <w:rFonts w:ascii="Times New Roman" w:hAnsi="Times New Roman" w:cs="Times New Roman"/>
          <w:b/>
          <w:bCs/>
          <w:color w:val="6E6E6E"/>
          <w:sz w:val="24"/>
          <w:szCs w:val="24"/>
          <w:lang w:val="en-US"/>
        </w:rPr>
        <w:t>list of medical organisations </w:t>
      </w:r>
      <w:r w:rsidRPr="00C40532">
        <w:rPr>
          <w:rFonts w:ascii="Times New Roman" w:hAnsi="Times New Roman" w:cs="Times New Roman"/>
          <w:color w:val="555555"/>
          <w:sz w:val="24"/>
          <w:szCs w:val="24"/>
          <w:lang w:val="en-US"/>
        </w:rPr>
        <w:t>it works with to (potential) insurance policy holders, which typically embraces all authorized medical organisations operating in appropriate subject of the Federation.</w:t>
      </w:r>
    </w:p>
    <w:p w:rsidR="00472A60" w:rsidRPr="00C40532" w:rsidRDefault="00472A60" w:rsidP="00472A60">
      <w:pPr>
        <w:shd w:val="clear" w:color="auto" w:fill="FFFFFF"/>
        <w:spacing w:after="0" w:line="240" w:lineRule="auto"/>
        <w:jc w:val="both"/>
        <w:rPr>
          <w:rStyle w:val="hps"/>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1. The organization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local finances</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The value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local budgets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the social</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infrastructure of the region</w:t>
      </w:r>
      <w:r w:rsidRPr="00C40532">
        <w:rPr>
          <w:rFonts w:ascii="Times New Roman" w:hAnsi="Times New Roman" w:cs="Times New Roman"/>
          <w:b/>
          <w:sz w:val="24"/>
          <w:szCs w:val="24"/>
          <w:lang w:val="en-US"/>
        </w:rPr>
        <w:t>.</w:t>
      </w:r>
      <w:proofErr w:type="gramEnd"/>
    </w:p>
    <w:p w:rsidR="00472A60" w:rsidRPr="00C40532" w:rsidRDefault="00472A60" w:rsidP="00472A60">
      <w:pPr>
        <w:spacing w:after="0" w:line="240" w:lineRule="auto"/>
        <w:ind w:firstLine="708"/>
        <w:jc w:val="both"/>
        <w:rPr>
          <w:rFonts w:ascii="Times New Roman" w:hAnsi="Times New Roman" w:cs="Times New Roman"/>
          <w:sz w:val="24"/>
          <w:szCs w:val="24"/>
          <w:lang w:val="en-US"/>
        </w:rPr>
      </w:pPr>
    </w:p>
    <w:p w:rsidR="00472A60" w:rsidRPr="00C40532" w:rsidRDefault="00472A60" w:rsidP="00472A60">
      <w:pPr>
        <w:spacing w:after="0" w:line="240" w:lineRule="auto"/>
        <w:ind w:firstLine="708"/>
        <w:jc w:val="both"/>
        <w:rPr>
          <w:rFonts w:ascii="Times New Roman" w:hAnsi="Times New Roman" w:cs="Times New Roman"/>
          <w:color w:val="000000"/>
          <w:sz w:val="24"/>
          <w:szCs w:val="24"/>
          <w:lang w:val="en-US"/>
        </w:rPr>
      </w:pPr>
      <w:proofErr w:type="gramStart"/>
      <w:r w:rsidRPr="00C40532">
        <w:rPr>
          <w:rFonts w:ascii="Times New Roman" w:hAnsi="Times New Roman" w:cs="Times New Roman"/>
          <w:b/>
          <w:color w:val="000000"/>
          <w:sz w:val="24"/>
          <w:szCs w:val="24"/>
          <w:lang w:val="en-US"/>
        </w:rPr>
        <w:t>Local Government Structure.</w:t>
      </w:r>
      <w:proofErr w:type="gramEnd"/>
      <w:r w:rsidRPr="00C40532">
        <w:rPr>
          <w:rFonts w:ascii="Times New Roman" w:hAnsi="Times New Roman" w:cs="Times New Roman"/>
          <w:b/>
          <w:color w:val="000000"/>
          <w:sz w:val="24"/>
          <w:szCs w:val="24"/>
          <w:lang w:val="en-US"/>
        </w:rPr>
        <w:t xml:space="preserve"> </w:t>
      </w:r>
      <w:r w:rsidRPr="00C40532">
        <w:rPr>
          <w:rFonts w:ascii="Times New Roman" w:hAnsi="Times New Roman" w:cs="Times New Roman"/>
          <w:color w:val="000000"/>
          <w:sz w:val="24"/>
          <w:szCs w:val="24"/>
          <w:lang w:val="en-US"/>
        </w:rPr>
        <w:t>Ambiguities in the federal legislation caused heated disputes on the exact territoxrial definition of local self-government, which could be decided either by federal or provincial law. There are two tiers of sub-regional govern</w:t>
      </w:r>
      <w:r w:rsidRPr="00C40532">
        <w:rPr>
          <w:rFonts w:ascii="Times New Roman" w:hAnsi="Times New Roman" w:cs="Times New Roman"/>
          <w:color w:val="000000"/>
          <w:sz w:val="24"/>
          <w:szCs w:val="24"/>
          <w:lang w:val="en-US"/>
        </w:rPr>
        <w:softHyphen/>
        <w:t>ment in Russia. The upper tier consists of cities and districts</w:t>
      </w:r>
      <w:r w:rsidRPr="00C40532">
        <w:rPr>
          <w:rFonts w:ascii="Times New Roman" w:hAnsi="Times New Roman" w:cs="Times New Roman"/>
          <w:i/>
          <w:iCs/>
          <w:color w:val="000000"/>
          <w:sz w:val="24"/>
          <w:szCs w:val="24"/>
          <w:lang w:val="en-US"/>
        </w:rPr>
        <w:t>.</w:t>
      </w:r>
      <w:r w:rsidRPr="00C40532">
        <w:rPr>
          <w:rFonts w:ascii="Times New Roman" w:hAnsi="Times New Roman" w:cs="Times New Roman"/>
          <w:color w:val="000000"/>
          <w:sz w:val="24"/>
          <w:szCs w:val="24"/>
          <w:lang w:val="en-US"/>
        </w:rPr>
        <w:t xml:space="preserve"> The lower tier comprises towns, settlements</w:t>
      </w:r>
      <w:r w:rsidRPr="00C40532">
        <w:rPr>
          <w:rFonts w:ascii="Times New Roman" w:hAnsi="Times New Roman" w:cs="Times New Roman"/>
          <w:i/>
          <w:iCs/>
          <w:color w:val="000000"/>
          <w:sz w:val="24"/>
          <w:szCs w:val="24"/>
          <w:lang w:val="en-US"/>
        </w:rPr>
        <w:t>,</w:t>
      </w:r>
      <w:r w:rsidRPr="00C40532">
        <w:rPr>
          <w:rFonts w:ascii="Times New Roman" w:hAnsi="Times New Roman" w:cs="Times New Roman"/>
          <w:color w:val="000000"/>
          <w:sz w:val="24"/>
          <w:szCs w:val="24"/>
          <w:lang w:val="en-US"/>
        </w:rPr>
        <w:t xml:space="preserve"> and villages</w:t>
      </w:r>
      <w:r w:rsidRPr="00C40532">
        <w:rPr>
          <w:rFonts w:ascii="Times New Roman" w:hAnsi="Times New Roman" w:cs="Times New Roman"/>
          <w:i/>
          <w:iCs/>
          <w:color w:val="000000"/>
          <w:sz w:val="24"/>
          <w:szCs w:val="24"/>
          <w:lang w:val="en-US"/>
        </w:rPr>
        <w:t>.</w:t>
      </w:r>
      <w:r w:rsidRPr="00C40532">
        <w:rPr>
          <w:rFonts w:ascii="Times New Roman" w:hAnsi="Times New Roman" w:cs="Times New Roman"/>
          <w:color w:val="000000"/>
          <w:sz w:val="24"/>
          <w:szCs w:val="24"/>
          <w:lang w:val="en-US"/>
        </w:rPr>
        <w:t xml:space="preserve"> In some regions the upper tier was settled as a basic unit of the local self-government. It has provided a level of </w:t>
      </w:r>
      <w:r w:rsidRPr="00C40532">
        <w:rPr>
          <w:rFonts w:ascii="Times New Roman" w:hAnsi="Times New Roman" w:cs="Times New Roman"/>
          <w:color w:val="000000"/>
          <w:sz w:val="24"/>
          <w:szCs w:val="24"/>
          <w:lang w:val="en-US"/>
        </w:rPr>
        <w:lastRenderedPageBreak/>
        <w:t>democratic authority to which former central state functions can be conveniently and incrementally</w:t>
      </w:r>
      <w:r w:rsidRPr="00C40532">
        <w:rPr>
          <w:rFonts w:ascii="Times New Roman" w:hAnsi="Times New Roman" w:cs="Times New Roman"/>
          <w:noProof/>
          <w:color w:val="000000"/>
          <w:sz w:val="24"/>
          <w:szCs w:val="24"/>
          <w:lang w:val="en-US"/>
        </w:rPr>
        <w:t xml:space="preserve"> </w:t>
      </w:r>
      <w:r w:rsidRPr="00C40532">
        <w:rPr>
          <w:rFonts w:ascii="Times New Roman" w:hAnsi="Times New Roman" w:cs="Times New Roman"/>
          <w:color w:val="000000"/>
          <w:sz w:val="24"/>
          <w:szCs w:val="24"/>
          <w:lang w:val="en-US"/>
        </w:rPr>
        <w:t>transferred. In other regions only the lower tier was granted the status of local self-government. The upper one was striped of self-government and reorga</w:t>
      </w:r>
      <w:r w:rsidRPr="00C40532">
        <w:rPr>
          <w:rFonts w:ascii="Times New Roman" w:hAnsi="Times New Roman" w:cs="Times New Roman"/>
          <w:color w:val="000000"/>
          <w:sz w:val="24"/>
          <w:szCs w:val="24"/>
          <w:lang w:val="en-US"/>
        </w:rPr>
        <w:softHyphen/>
        <w:t>nized as branches of regional administration with appointed chief executives and no elected councils. In this case democratically elected local authorities cannot satisfactorily fulfill at least some of the functions.</w:t>
      </w:r>
    </w:p>
    <w:p w:rsidR="00472A60" w:rsidRPr="00C40532" w:rsidRDefault="00472A60" w:rsidP="00472A60">
      <w:pPr>
        <w:autoSpaceDE w:val="0"/>
        <w:autoSpaceDN w:val="0"/>
        <w:adjustRightInd w:val="0"/>
        <w:spacing w:after="0" w:line="240" w:lineRule="auto"/>
        <w:jc w:val="both"/>
        <w:rPr>
          <w:rFonts w:ascii="Times New Roman" w:hAnsi="Times New Roman" w:cs="Times New Roman"/>
          <w:sz w:val="24"/>
          <w:szCs w:val="24"/>
          <w:lang w:val="en-US"/>
        </w:rPr>
      </w:pPr>
      <w:proofErr w:type="gramStart"/>
      <w:r w:rsidRPr="00C40532">
        <w:rPr>
          <w:rFonts w:ascii="Times New Roman" w:hAnsi="Times New Roman" w:cs="Times New Roman"/>
          <w:b/>
          <w:sz w:val="24"/>
          <w:szCs w:val="24"/>
          <w:lang w:val="en-US"/>
        </w:rPr>
        <w:t>Range and Distribution of Activities.</w:t>
      </w:r>
      <w:proofErr w:type="gramEnd"/>
      <w:r w:rsidRPr="00C40532">
        <w:rPr>
          <w:rFonts w:ascii="Times New Roman" w:hAnsi="Times New Roman" w:cs="Times New Roman"/>
          <w:b/>
          <w:sz w:val="24"/>
          <w:szCs w:val="24"/>
          <w:lang w:val="en-US"/>
        </w:rPr>
        <w:t xml:space="preserve"> </w:t>
      </w:r>
      <w:r w:rsidRPr="00C40532">
        <w:rPr>
          <w:rFonts w:ascii="Times New Roman" w:hAnsi="Times New Roman" w:cs="Times New Roman"/>
          <w:sz w:val="24"/>
          <w:szCs w:val="24"/>
          <w:lang w:val="en-US"/>
        </w:rPr>
        <w:t xml:space="preserve">Russian municipalities as everywhere have the basic responsibility for local planning, local roads, public transport, cultural matters and local libraries, recreational facilities, public utilities including water, drainage, gas, electricity and refuse collection and disposal. In Russia their functions also include housing, public transport, retail trade and services, medical care, education and social policy. They undertake some economic development activities. For this they could rely, among other things, on the use and disposal of natural resources (land, soil, water, forests, flora and fauna), real estate and local budgets.  They are also (according to the principle of general competence, common in most of Western Europe), free in starting new activities in the public interest not already allocated. So the listing of functions is never complete. </w:t>
      </w:r>
    </w:p>
    <w:p w:rsidR="00472A60" w:rsidRPr="00C40532" w:rsidRDefault="00472A60" w:rsidP="00472A60">
      <w:pPr>
        <w:autoSpaceDE w:val="0"/>
        <w:autoSpaceDN w:val="0"/>
        <w:adjustRightInd w:val="0"/>
        <w:spacing w:after="0" w:line="240" w:lineRule="auto"/>
        <w:jc w:val="both"/>
        <w:rPr>
          <w:rFonts w:ascii="Times New Roman" w:hAnsi="Times New Roman" w:cs="Times New Roman"/>
          <w:color w:val="000000"/>
          <w:sz w:val="24"/>
          <w:szCs w:val="24"/>
          <w:lang w:val="en-US"/>
        </w:rPr>
      </w:pPr>
      <w:proofErr w:type="gramStart"/>
      <w:r w:rsidRPr="00C40532">
        <w:rPr>
          <w:rFonts w:ascii="Times New Roman" w:hAnsi="Times New Roman" w:cs="Times New Roman"/>
          <w:b/>
          <w:color w:val="000000"/>
          <w:sz w:val="24"/>
          <w:szCs w:val="24"/>
          <w:lang w:val="en-US"/>
        </w:rPr>
        <w:t>Electoral Arrangements.</w:t>
      </w:r>
      <w:proofErr w:type="gramEnd"/>
      <w:r w:rsidRPr="00C40532">
        <w:rPr>
          <w:rFonts w:ascii="Times New Roman" w:hAnsi="Times New Roman" w:cs="Times New Roman"/>
          <w:b/>
          <w:color w:val="000000"/>
          <w:sz w:val="24"/>
          <w:szCs w:val="24"/>
          <w:lang w:val="en-US"/>
        </w:rPr>
        <w:t xml:space="preserve"> </w:t>
      </w:r>
      <w:r w:rsidRPr="00C40532">
        <w:rPr>
          <w:rFonts w:ascii="Times New Roman" w:hAnsi="Times New Roman" w:cs="Times New Roman"/>
          <w:color w:val="000000"/>
          <w:sz w:val="24"/>
          <w:szCs w:val="24"/>
          <w:lang w:val="en-US"/>
        </w:rPr>
        <w:t>On the local level Russia has in general “</w:t>
      </w:r>
      <w:proofErr w:type="gramStart"/>
      <w:r w:rsidRPr="00C40532">
        <w:rPr>
          <w:rFonts w:ascii="Times New Roman" w:hAnsi="Times New Roman" w:cs="Times New Roman"/>
          <w:color w:val="000000"/>
          <w:sz w:val="24"/>
          <w:szCs w:val="24"/>
          <w:lang w:val="en-US"/>
        </w:rPr>
        <w:t>winner take</w:t>
      </w:r>
      <w:proofErr w:type="gramEnd"/>
      <w:r w:rsidRPr="00C40532">
        <w:rPr>
          <w:rFonts w:ascii="Times New Roman" w:hAnsi="Times New Roman" w:cs="Times New Roman"/>
          <w:color w:val="000000"/>
          <w:sz w:val="24"/>
          <w:szCs w:val="24"/>
          <w:lang w:val="en-US"/>
        </w:rPr>
        <w:t xml:space="preserve"> all” system, with highly individualized competitive electioneering. But as we see in large cities there is a certain tendency to move from a non-partisan political pattern or loose party organization and lack of consistent party doctrine to European tradition, with its strong party organization in all local authorities of any size and party relationships radiating up from local politics to regional and national levels. The dominating pattern is a ward system where districts, to conform </w:t>
      </w:r>
      <w:proofErr w:type="gramStart"/>
      <w:r w:rsidRPr="00C40532">
        <w:rPr>
          <w:rFonts w:ascii="Times New Roman" w:hAnsi="Times New Roman" w:cs="Times New Roman"/>
          <w:color w:val="000000"/>
          <w:sz w:val="24"/>
          <w:szCs w:val="24"/>
          <w:lang w:val="en-US"/>
        </w:rPr>
        <w:t>with</w:t>
      </w:r>
      <w:proofErr w:type="gramEnd"/>
      <w:r w:rsidRPr="00C40532">
        <w:rPr>
          <w:rFonts w:ascii="Times New Roman" w:hAnsi="Times New Roman" w:cs="Times New Roman"/>
          <w:color w:val="000000"/>
          <w:sz w:val="24"/>
          <w:szCs w:val="24"/>
          <w:lang w:val="en-US"/>
        </w:rPr>
        <w:t xml:space="preserve"> the “one-man one-vote principle”, must have as equal a number of voters as reasonably possible. At-large elections for mayors provide an executive with an “all-city” perspective. Local election turn-out differs greatly and </w:t>
      </w:r>
      <w:proofErr w:type="gramStart"/>
      <w:r w:rsidRPr="00C40532">
        <w:rPr>
          <w:rFonts w:ascii="Times New Roman" w:hAnsi="Times New Roman" w:cs="Times New Roman"/>
          <w:color w:val="000000"/>
          <w:sz w:val="24"/>
          <w:szCs w:val="24"/>
          <w:lang w:val="en-US"/>
        </w:rPr>
        <w:t>depend</w:t>
      </w:r>
      <w:proofErr w:type="gramEnd"/>
      <w:r w:rsidRPr="00C40532">
        <w:rPr>
          <w:rFonts w:ascii="Times New Roman" w:hAnsi="Times New Roman" w:cs="Times New Roman"/>
          <w:color w:val="000000"/>
          <w:sz w:val="24"/>
          <w:szCs w:val="24"/>
          <w:lang w:val="en-US"/>
        </w:rPr>
        <w:t xml:space="preserve"> on the local political situation. In any case it is always lower than at national elections.</w:t>
      </w:r>
    </w:p>
    <w:p w:rsidR="00472A60" w:rsidRPr="00C40532" w:rsidRDefault="00472A60" w:rsidP="00472A60">
      <w:pPr>
        <w:autoSpaceDE w:val="0"/>
        <w:autoSpaceDN w:val="0"/>
        <w:adjustRightInd w:val="0"/>
        <w:spacing w:after="0" w:line="240" w:lineRule="auto"/>
        <w:jc w:val="both"/>
        <w:rPr>
          <w:rFonts w:ascii="Times New Roman" w:hAnsi="Times New Roman" w:cs="Times New Roman"/>
          <w:sz w:val="24"/>
          <w:szCs w:val="24"/>
          <w:lang w:val="en-US"/>
        </w:rPr>
      </w:pPr>
      <w:r w:rsidRPr="00C40532">
        <w:rPr>
          <w:rFonts w:ascii="Times New Roman" w:hAnsi="Times New Roman" w:cs="Times New Roman"/>
          <w:b/>
          <w:sz w:val="24"/>
          <w:szCs w:val="24"/>
          <w:lang w:val="en-US"/>
        </w:rPr>
        <w:t>Internal Organization.</w:t>
      </w:r>
      <w:r w:rsidRPr="00C40532">
        <w:rPr>
          <w:rFonts w:ascii="Times New Roman" w:hAnsi="Times New Roman" w:cs="Times New Roman"/>
          <w:sz w:val="24"/>
          <w:szCs w:val="24"/>
          <w:lang w:val="en-US"/>
        </w:rPr>
        <w:t xml:space="preserve">There is a clear emphasis on executive power and one-man management, outlining the obligatory election of representative bodies. The most typical model is that of strong mayor vs. weak council. </w:t>
      </w:r>
    </w:p>
    <w:p w:rsidR="00472A60" w:rsidRPr="00C40532" w:rsidRDefault="00472A60" w:rsidP="00472A60">
      <w:pPr>
        <w:autoSpaceDE w:val="0"/>
        <w:autoSpaceDN w:val="0"/>
        <w:adjustRightInd w:val="0"/>
        <w:spacing w:after="0" w:line="240" w:lineRule="auto"/>
        <w:jc w:val="both"/>
        <w:rPr>
          <w:rFonts w:ascii="Times New Roman" w:hAnsi="Times New Roman" w:cs="Times New Roman"/>
          <w:color w:val="000000"/>
          <w:sz w:val="24"/>
          <w:szCs w:val="24"/>
          <w:lang w:val="en-US"/>
        </w:rPr>
      </w:pPr>
      <w:r w:rsidRPr="00C40532">
        <w:rPr>
          <w:rFonts w:ascii="Times New Roman" w:hAnsi="Times New Roman" w:cs="Times New Roman"/>
          <w:color w:val="000000"/>
          <w:sz w:val="24"/>
          <w:szCs w:val="24"/>
          <w:lang w:val="en-US"/>
        </w:rPr>
        <w:t xml:space="preserve">The resurgence of respresentative power by the Law passed in July 1990 did not please many of the leading figures in the democrat camp. This despite the fact that at that time such leaders were almost without exception in representative roles: Boris Yeltsin (then chairman of the Russian Supreme Soviet or parliament), Anatoly Sobchak (then chairman of Leningrad City Council), and Gavrlil Popov (then chairman of Moscow City Council). </w:t>
      </w:r>
    </w:p>
    <w:p w:rsidR="00472A60" w:rsidRPr="00C40532" w:rsidRDefault="00472A60" w:rsidP="00472A60">
      <w:pPr>
        <w:autoSpaceDE w:val="0"/>
        <w:autoSpaceDN w:val="0"/>
        <w:adjustRightInd w:val="0"/>
        <w:spacing w:after="0" w:line="240" w:lineRule="auto"/>
        <w:jc w:val="both"/>
        <w:rPr>
          <w:rFonts w:ascii="Times New Roman" w:hAnsi="Times New Roman" w:cs="Times New Roman"/>
          <w:color w:val="000000"/>
          <w:sz w:val="24"/>
          <w:szCs w:val="24"/>
          <w:lang w:val="en-GB"/>
        </w:rPr>
      </w:pPr>
      <w:r w:rsidRPr="00C40532">
        <w:rPr>
          <w:rFonts w:ascii="Times New Roman" w:hAnsi="Times New Roman" w:cs="Times New Roman"/>
          <w:color w:val="000000"/>
          <w:sz w:val="24"/>
          <w:szCs w:val="24"/>
          <w:lang w:val="en-US"/>
        </w:rPr>
        <w:t>There were several reasons why during the whole period of reforms democratic leaders were all strongly in</w:t>
      </w:r>
      <w:r w:rsidRPr="00C40532">
        <w:rPr>
          <w:rFonts w:ascii="Times New Roman" w:hAnsi="Times New Roman" w:cs="Times New Roman"/>
          <w:color w:val="000000"/>
          <w:sz w:val="24"/>
          <w:szCs w:val="24"/>
          <w:lang w:val="en-GB"/>
        </w:rPr>
        <w:t xml:space="preserve"> favour</w:t>
      </w:r>
      <w:r w:rsidRPr="00C40532">
        <w:rPr>
          <w:rFonts w:ascii="Times New Roman" w:hAnsi="Times New Roman" w:cs="Times New Roman"/>
          <w:color w:val="000000"/>
          <w:sz w:val="24"/>
          <w:szCs w:val="24"/>
          <w:lang w:val="en-US"/>
        </w:rPr>
        <w:t xml:space="preserve"> of the clear subordination of the representative power to the executive power at all levels, with the provision that the leaders of the executive were directly elected, or subordinate to someone who was directly elected. </w:t>
      </w:r>
      <w:r w:rsidRPr="00C40532">
        <w:rPr>
          <w:rFonts w:ascii="Times New Roman" w:hAnsi="Times New Roman" w:cs="Times New Roman"/>
          <w:sz w:val="24"/>
          <w:szCs w:val="24"/>
          <w:lang w:val="en-US"/>
        </w:rPr>
        <w:t>Firstly, they were disgusted by the chaos and</w:t>
      </w:r>
      <w:r w:rsidRPr="00C40532">
        <w:rPr>
          <w:rFonts w:ascii="Times New Roman" w:hAnsi="Times New Roman" w:cs="Times New Roman"/>
          <w:sz w:val="24"/>
          <w:szCs w:val="24"/>
          <w:lang w:val="en-GB"/>
        </w:rPr>
        <w:t xml:space="preserve"> ineffectiveness</w:t>
      </w:r>
      <w:r w:rsidRPr="00C40532">
        <w:rPr>
          <w:rFonts w:ascii="Times New Roman" w:hAnsi="Times New Roman" w:cs="Times New Roman"/>
          <w:sz w:val="24"/>
          <w:szCs w:val="24"/>
          <w:lang w:val="en-US"/>
        </w:rPr>
        <w:t xml:space="preserve"> of the councils. </w:t>
      </w:r>
      <w:r w:rsidRPr="00C40532">
        <w:rPr>
          <w:rFonts w:ascii="Times New Roman" w:hAnsi="Times New Roman" w:cs="Times New Roman"/>
          <w:sz w:val="24"/>
          <w:szCs w:val="24"/>
          <w:lang w:val="en-GB"/>
        </w:rPr>
        <w:t xml:space="preserve">Secondly, leading democrats were interested in carrying out sweeping reforms in a short space of time. To achieve this they needed some of the centralized machinery of state. The emphasis on executive power was also justified by the way in which the conservative forces in some areas were beginning to hide behind “democratic” slogans, using their local mandates to avoid implementing central government's directives.  </w:t>
      </w:r>
      <w:r w:rsidRPr="00C40532">
        <w:rPr>
          <w:rFonts w:ascii="Times New Roman" w:hAnsi="Times New Roman" w:cs="Times New Roman"/>
          <w:color w:val="000000"/>
          <w:sz w:val="24"/>
          <w:szCs w:val="24"/>
          <w:lang w:val="en-GB"/>
        </w:rPr>
        <w:t xml:space="preserve">Thirdly, there is a view that representative democracy, if introduced too early in the reform process, necessarily impedes progress. Given that economic reforms create more losers than gainers in the short, and even the medium-term, representative democracy on the Western model cannot function. </w:t>
      </w:r>
    </w:p>
    <w:p w:rsidR="00472A60" w:rsidRPr="00C40532" w:rsidRDefault="00472A60" w:rsidP="00472A60">
      <w:pPr>
        <w:autoSpaceDE w:val="0"/>
        <w:autoSpaceDN w:val="0"/>
        <w:adjustRightInd w:val="0"/>
        <w:spacing w:after="0" w:line="240" w:lineRule="auto"/>
        <w:jc w:val="both"/>
        <w:rPr>
          <w:rFonts w:ascii="Times New Roman" w:hAnsi="Times New Roman" w:cs="Times New Roman"/>
          <w:color w:val="000000"/>
          <w:sz w:val="24"/>
          <w:szCs w:val="24"/>
          <w:lang w:val="en-US"/>
        </w:rPr>
      </w:pPr>
      <w:r w:rsidRPr="00C40532">
        <w:rPr>
          <w:rFonts w:ascii="Times New Roman" w:hAnsi="Times New Roman" w:cs="Times New Roman"/>
          <w:color w:val="000000"/>
          <w:sz w:val="24"/>
          <w:szCs w:val="24"/>
          <w:lang w:val="en-GB"/>
        </w:rPr>
        <w:t xml:space="preserve">As already mentioned, the vast majority of local authorities have the strong mayor system. They are usually elected at large by universal secret ballot and serve for a four year term. Whether election is direct by the whole electorate of a local authority or indirect by a council for a term of office, they give a focus of accountability matched with equivalent powers, a strong political representation of an authority and a role which attracts politicians of the highest ability who may move from such </w:t>
      </w:r>
      <w:r w:rsidRPr="00C40532">
        <w:rPr>
          <w:rFonts w:ascii="Times New Roman" w:hAnsi="Times New Roman" w:cs="Times New Roman"/>
          <w:color w:val="000000"/>
          <w:sz w:val="24"/>
          <w:szCs w:val="24"/>
          <w:lang w:val="en-GB"/>
        </w:rPr>
        <w:lastRenderedPageBreak/>
        <w:t>posts to the highest offices in regional or even central government (in case of large cities). Although the idea of the head of administration, elected or otherwise, has its advantages, it has been less successful that some might have expected.</w:t>
      </w:r>
      <w:r w:rsidRPr="00C40532">
        <w:rPr>
          <w:rFonts w:ascii="Times New Roman" w:hAnsi="Times New Roman" w:cs="Times New Roman"/>
          <w:noProof/>
          <w:color w:val="000000"/>
          <w:sz w:val="24"/>
          <w:szCs w:val="24"/>
          <w:lang w:val="en-GB"/>
        </w:rPr>
        <w:t xml:space="preserve"> Nоt</w:t>
      </w:r>
      <w:r w:rsidRPr="00C40532">
        <w:rPr>
          <w:rFonts w:ascii="Times New Roman" w:hAnsi="Times New Roman" w:cs="Times New Roman"/>
          <w:color w:val="000000"/>
          <w:sz w:val="24"/>
          <w:szCs w:val="24"/>
          <w:lang w:val="en-GB"/>
        </w:rPr>
        <w:t xml:space="preserve"> least it</w:t>
      </w:r>
      <w:r w:rsidRPr="00C40532">
        <w:rPr>
          <w:rFonts w:ascii="Times New Roman" w:hAnsi="Times New Roman" w:cs="Times New Roman"/>
          <w:color w:val="000000"/>
          <w:sz w:val="24"/>
          <w:szCs w:val="24"/>
          <w:lang w:val="en-US"/>
        </w:rPr>
        <w:t xml:space="preserve"> repeats the </w:t>
      </w:r>
      <w:proofErr w:type="gramStart"/>
      <w:r w:rsidRPr="00C40532">
        <w:rPr>
          <w:rFonts w:ascii="Times New Roman" w:hAnsi="Times New Roman" w:cs="Times New Roman"/>
          <w:color w:val="000000"/>
          <w:sz w:val="24"/>
          <w:szCs w:val="24"/>
          <w:lang w:val="en-US"/>
        </w:rPr>
        <w:t>old</w:t>
      </w:r>
      <w:proofErr w:type="gramEnd"/>
      <w:r w:rsidRPr="00C40532">
        <w:rPr>
          <w:rFonts w:ascii="Times New Roman" w:hAnsi="Times New Roman" w:cs="Times New Roman"/>
          <w:color w:val="000000"/>
          <w:sz w:val="24"/>
          <w:szCs w:val="24"/>
          <w:lang w:val="en-US"/>
        </w:rPr>
        <w:t xml:space="preserve"> Russian formula of one person having complete power at a given level.  The new councils, with</w:t>
      </w:r>
      <w:r w:rsidRPr="00C40532">
        <w:rPr>
          <w:rFonts w:ascii="Times New Roman" w:hAnsi="Times New Roman" w:cs="Times New Roman"/>
          <w:noProof/>
          <w:color w:val="000000"/>
          <w:sz w:val="24"/>
          <w:szCs w:val="24"/>
          <w:lang w:val="en-US"/>
        </w:rPr>
        <w:t xml:space="preserve"> 25</w:t>
      </w:r>
      <w:r w:rsidRPr="00C40532">
        <w:rPr>
          <w:rFonts w:ascii="Times New Roman" w:hAnsi="Times New Roman" w:cs="Times New Roman"/>
          <w:color w:val="000000"/>
          <w:sz w:val="24"/>
          <w:szCs w:val="24"/>
          <w:lang w:val="en-US"/>
        </w:rPr>
        <w:t xml:space="preserve"> or fewer members, are much smaller than the old local Soviets, which often had more than</w:t>
      </w:r>
      <w:r w:rsidRPr="00C40532">
        <w:rPr>
          <w:rFonts w:ascii="Times New Roman" w:hAnsi="Times New Roman" w:cs="Times New Roman"/>
          <w:noProof/>
          <w:color w:val="000000"/>
          <w:sz w:val="24"/>
          <w:szCs w:val="24"/>
          <w:lang w:val="en-US"/>
        </w:rPr>
        <w:t xml:space="preserve"> 200 </w:t>
      </w:r>
      <w:r w:rsidRPr="00C40532">
        <w:rPr>
          <w:rFonts w:ascii="Times New Roman" w:hAnsi="Times New Roman" w:cs="Times New Roman"/>
          <w:color w:val="000000"/>
          <w:sz w:val="24"/>
          <w:szCs w:val="24"/>
          <w:lang w:val="en-US"/>
        </w:rPr>
        <w:t>deputies. The new deputies are unpaid, and most don't have the time to carry out even their limited functions. So it is difficult for them to carry out democratic control and actual budgetary decision-making. The essentially political nature of the appointment of senior officials in much of Russian local authorities is also notable.</w:t>
      </w:r>
    </w:p>
    <w:p w:rsidR="00472A60" w:rsidRPr="00C40532" w:rsidRDefault="00472A60" w:rsidP="00472A60">
      <w:pPr>
        <w:autoSpaceDE w:val="0"/>
        <w:autoSpaceDN w:val="0"/>
        <w:adjustRightInd w:val="0"/>
        <w:spacing w:after="0" w:line="240" w:lineRule="auto"/>
        <w:jc w:val="both"/>
        <w:rPr>
          <w:rFonts w:ascii="Times New Roman" w:hAnsi="Times New Roman" w:cs="Times New Roman"/>
          <w:color w:val="000000"/>
          <w:sz w:val="24"/>
          <w:szCs w:val="24"/>
          <w:lang w:val="en-US"/>
        </w:rPr>
      </w:pPr>
      <w:proofErr w:type="gramStart"/>
      <w:r w:rsidRPr="00C40532">
        <w:rPr>
          <w:rFonts w:ascii="Times New Roman" w:hAnsi="Times New Roman" w:cs="Times New Roman"/>
          <w:b/>
          <w:color w:val="000000"/>
          <w:sz w:val="24"/>
          <w:szCs w:val="24"/>
          <w:lang w:val="en-GB"/>
        </w:rPr>
        <w:t>Inter-Governme</w:t>
      </w:r>
      <w:r w:rsidRPr="00C40532">
        <w:rPr>
          <w:rFonts w:ascii="Times New Roman" w:hAnsi="Times New Roman" w:cs="Times New Roman"/>
          <w:b/>
          <w:color w:val="000000"/>
          <w:sz w:val="24"/>
          <w:szCs w:val="24"/>
          <w:lang w:val="en-US"/>
        </w:rPr>
        <w:t>ntal Relations.</w:t>
      </w:r>
      <w:proofErr w:type="gramEnd"/>
      <w:r w:rsidRPr="00C40532">
        <w:rPr>
          <w:rFonts w:ascii="Times New Roman" w:hAnsi="Times New Roman" w:cs="Times New Roman"/>
          <w:b/>
          <w:color w:val="000000"/>
          <w:sz w:val="24"/>
          <w:szCs w:val="24"/>
          <w:lang w:val="en-US"/>
        </w:rPr>
        <w:t xml:space="preserve"> </w:t>
      </w:r>
      <w:r w:rsidRPr="00C40532">
        <w:rPr>
          <w:rFonts w:ascii="Times New Roman" w:hAnsi="Times New Roman" w:cs="Times New Roman"/>
          <w:sz w:val="24"/>
          <w:szCs w:val="24"/>
          <w:lang w:val="en-US"/>
        </w:rPr>
        <w:t xml:space="preserve">Despite the status of local government in the national constitution Russian local authorities in reality are to a large extent the creation of each main federal unit and exist within limits often defined in great detail in republican/regional constitutions and legislation. </w:t>
      </w:r>
      <w:r w:rsidRPr="00C40532">
        <w:rPr>
          <w:rFonts w:ascii="Times New Roman" w:hAnsi="Times New Roman" w:cs="Times New Roman"/>
          <w:color w:val="000000"/>
          <w:sz w:val="24"/>
          <w:szCs w:val="24"/>
          <w:lang w:val="en-US"/>
        </w:rPr>
        <w:t>The implementation of local self-government and the definition of its functions depended to a large extent not only on the attitudes of the provincial leadership but also on the bargaining power of both the regional legislative branch and local administrations. The regional authorities continually give themselves greater powers in relation to local government but they can’t show themselves to be an adequate substitute for a proper strategy aimed at gaining the confidence of local authorities. On the contrary it generates suspicion and uncertainty. The logical result is numerous facts of confrontation. The most striking example is that of Prymorsky region and City of Vladivostok where as a result of an uncompromising struggle between the governor and the mayor 27 attempts were done to elect Vladivostok city Council and all of them failed.</w:t>
      </w:r>
    </w:p>
    <w:p w:rsidR="00472A60" w:rsidRPr="00C40532" w:rsidRDefault="00472A60" w:rsidP="00472A60">
      <w:pPr>
        <w:pStyle w:val="1"/>
        <w:spacing w:before="0"/>
        <w:jc w:val="both"/>
        <w:rPr>
          <w:rFonts w:ascii="Times New Roman" w:eastAsia="Times New Roman" w:hAnsi="Times New Roman" w:cs="Times New Roman"/>
          <w:color w:val="000000"/>
          <w:sz w:val="24"/>
          <w:szCs w:val="24"/>
          <w:lang w:val="en-US"/>
        </w:rPr>
      </w:pPr>
      <w:proofErr w:type="gramStart"/>
      <w:r w:rsidRPr="00C40532">
        <w:rPr>
          <w:rFonts w:ascii="Times New Roman" w:eastAsia="Times New Roman" w:hAnsi="Times New Roman" w:cs="Times New Roman"/>
          <w:b w:val="0"/>
          <w:color w:val="365F91"/>
          <w:sz w:val="24"/>
          <w:szCs w:val="24"/>
          <w:lang w:val="en-US"/>
        </w:rPr>
        <w:t>Local finance.</w:t>
      </w:r>
      <w:proofErr w:type="gramEnd"/>
      <w:r w:rsidRPr="00C40532">
        <w:rPr>
          <w:rFonts w:ascii="Times New Roman" w:eastAsia="Times New Roman" w:hAnsi="Times New Roman" w:cs="Times New Roman"/>
          <w:b w:val="0"/>
          <w:color w:val="365F91"/>
          <w:sz w:val="24"/>
          <w:szCs w:val="24"/>
          <w:lang w:val="en-US"/>
        </w:rPr>
        <w:t xml:space="preserve"> </w:t>
      </w:r>
      <w:r w:rsidRPr="00C40532">
        <w:rPr>
          <w:rFonts w:ascii="Times New Roman" w:eastAsia="Times New Roman" w:hAnsi="Times New Roman" w:cs="Times New Roman"/>
          <w:color w:val="365F91"/>
          <w:sz w:val="24"/>
          <w:szCs w:val="24"/>
          <w:lang w:val="en-US"/>
        </w:rPr>
        <w:t>The main problem with the local government in Russia is the lack of local control over finances. Laws granting powers to local authorities become meaningless when real financial power is not includ</w:t>
      </w:r>
      <w:r w:rsidRPr="00C40532">
        <w:rPr>
          <w:rFonts w:ascii="Times New Roman" w:eastAsia="Times New Roman" w:hAnsi="Times New Roman" w:cs="Times New Roman"/>
          <w:color w:val="365F91"/>
          <w:sz w:val="24"/>
          <w:szCs w:val="24"/>
          <w:lang w:val="en-US"/>
        </w:rPr>
        <w:softHyphen/>
        <w:t>ed. The tasks mandated to local gov</w:t>
      </w:r>
      <w:r w:rsidRPr="00C40532">
        <w:rPr>
          <w:rFonts w:ascii="Times New Roman" w:eastAsia="Times New Roman" w:hAnsi="Times New Roman" w:cs="Times New Roman"/>
          <w:color w:val="365F91"/>
          <w:sz w:val="24"/>
          <w:szCs w:val="24"/>
          <w:lang w:val="en-US"/>
        </w:rPr>
        <w:softHyphen/>
        <w:t>ernment in no way correspond to the actual amount of local revenue desig</w:t>
      </w:r>
      <w:r w:rsidRPr="00C40532">
        <w:rPr>
          <w:rFonts w:ascii="Times New Roman" w:eastAsia="Times New Roman" w:hAnsi="Times New Roman" w:cs="Times New Roman"/>
          <w:color w:val="365F91"/>
          <w:sz w:val="24"/>
          <w:szCs w:val="24"/>
          <w:lang w:val="en-US"/>
        </w:rPr>
        <w:softHyphen/>
        <w:t xml:space="preserve">nated to carry out those tasks. Delegated mandates in the social and housing sectors are not sufficiently covered. This has placed local government in a permanent financial crisis characterized by huge local budget deficits and deteriorating services. The concept of financing local budget deficits by loans or by issuing bonds is still in its infancy. </w:t>
      </w:r>
      <w:r w:rsidRPr="00C40532">
        <w:rPr>
          <w:rFonts w:ascii="Times New Roman" w:eastAsia="Times New Roman" w:hAnsi="Times New Roman" w:cs="Times New Roman"/>
          <w:color w:val="000000"/>
          <w:sz w:val="24"/>
          <w:szCs w:val="24"/>
          <w:lang w:val="en-US"/>
        </w:rPr>
        <w:t>As, following the Soviet tradition, the entire budget process is driven by expenditures - the local authorities present plans for their annual expendi</w:t>
      </w:r>
      <w:r w:rsidRPr="00C40532">
        <w:rPr>
          <w:rFonts w:ascii="Times New Roman" w:eastAsia="Times New Roman" w:hAnsi="Times New Roman" w:cs="Times New Roman"/>
          <w:color w:val="000000"/>
          <w:sz w:val="24"/>
          <w:szCs w:val="24"/>
          <w:lang w:val="en-US"/>
        </w:rPr>
        <w:softHyphen/>
        <w:t>tures, and the regional governments allocate tax shares and grants, there is no incentive for municipalities to seek new sources of income, enhance cost recovery for services, or cut down ad</w:t>
      </w:r>
      <w:r w:rsidRPr="00C40532">
        <w:rPr>
          <w:rFonts w:ascii="Times New Roman" w:eastAsia="Times New Roman" w:hAnsi="Times New Roman" w:cs="Times New Roman"/>
          <w:color w:val="000000"/>
          <w:sz w:val="24"/>
          <w:szCs w:val="24"/>
          <w:lang w:val="en-US"/>
        </w:rPr>
        <w:softHyphen/>
        <w:t>ministrative overhead. Innovative municipalities that economize or even create new enterprises are often “rewarded” for their efforts with a corresponding re</w:t>
      </w:r>
      <w:r w:rsidRPr="00C40532">
        <w:rPr>
          <w:rFonts w:ascii="Times New Roman" w:eastAsia="Times New Roman" w:hAnsi="Times New Roman" w:cs="Times New Roman"/>
          <w:color w:val="000000"/>
          <w:sz w:val="24"/>
          <w:szCs w:val="24"/>
          <w:lang w:val="en-US"/>
        </w:rPr>
        <w:softHyphen/>
        <w:t>duction in their tax shares and grants. In addition, the central government determines the wages of all public-sec</w:t>
      </w:r>
      <w:r w:rsidRPr="00C40532">
        <w:rPr>
          <w:rFonts w:ascii="Times New Roman" w:eastAsia="Times New Roman" w:hAnsi="Times New Roman" w:cs="Times New Roman"/>
          <w:color w:val="000000"/>
          <w:sz w:val="24"/>
          <w:szCs w:val="24"/>
          <w:lang w:val="en-US"/>
        </w:rPr>
        <w:softHyphen/>
        <w:t>tor employees, severely curbing municipal initiative. Wage increases put immediate pres</w:t>
      </w:r>
      <w:r w:rsidRPr="00C40532">
        <w:rPr>
          <w:rFonts w:ascii="Times New Roman" w:eastAsia="Times New Roman" w:hAnsi="Times New Roman" w:cs="Times New Roman"/>
          <w:color w:val="000000"/>
          <w:sz w:val="24"/>
          <w:szCs w:val="24"/>
          <w:lang w:val="en-US"/>
        </w:rPr>
        <w:softHyphen/>
        <w:t>sure on local budgets. Accountability, efficiency, and responsibility fall by the wayside under the present system of local government finance. In fact the current state of affairs nourishes corruption and nepo</w:t>
      </w:r>
      <w:r w:rsidRPr="00C40532">
        <w:rPr>
          <w:rFonts w:ascii="Times New Roman" w:eastAsia="Times New Roman" w:hAnsi="Times New Roman" w:cs="Times New Roman"/>
          <w:color w:val="000000"/>
          <w:sz w:val="24"/>
          <w:szCs w:val="24"/>
          <w:lang w:val="en-US"/>
        </w:rPr>
        <w:softHyphen/>
        <w:t>tism as public scrutiny is largely absent. Although the law on local self-government has a special provision for tax assignments to cover the “necessary minimum of expenses” for local authorities and local shares of federal and regional taxes to meet “minimum state social standards”, it is left open how this is to be achieved.</w:t>
      </w:r>
    </w:p>
    <w:p w:rsidR="00472A60" w:rsidRPr="00C40532" w:rsidRDefault="00472A60" w:rsidP="00472A60">
      <w:pPr>
        <w:spacing w:after="0" w:line="240" w:lineRule="auto"/>
        <w:ind w:firstLine="708"/>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5.</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Specifics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tax collection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in the Russian Federation</w:t>
      </w:r>
      <w:r w:rsidRPr="00C40532">
        <w:rPr>
          <w:rFonts w:ascii="Times New Roman" w:hAnsi="Times New Roman" w:cs="Times New Roman"/>
          <w:b/>
          <w:sz w:val="24"/>
          <w:szCs w:val="24"/>
          <w:lang w:val="en-US"/>
        </w:rPr>
        <w:t xml:space="preserve">. </w:t>
      </w:r>
      <w:proofErr w:type="gramStart"/>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tax system</w:t>
      </w:r>
      <w:r w:rsidRPr="00C40532">
        <w:rPr>
          <w:rFonts w:ascii="Times New Roman" w:hAnsi="Times New Roman" w:cs="Times New Roman"/>
          <w:b/>
          <w:sz w:val="24"/>
          <w:szCs w:val="24"/>
          <w:lang w:val="en-US"/>
        </w:rPr>
        <w:t>.</w:t>
      </w:r>
      <w:proofErr w:type="gramEnd"/>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The</w:t>
      </w:r>
      <w:r w:rsidRPr="00C40532">
        <w:rPr>
          <w:rStyle w:val="apple-converted-space"/>
          <w:color w:val="222222"/>
          <w:lang w:val="en-US"/>
        </w:rPr>
        <w:t> </w:t>
      </w:r>
      <w:r w:rsidRPr="00C40532">
        <w:rPr>
          <w:b/>
          <w:bCs/>
          <w:color w:val="222222"/>
          <w:lang w:val="en-US"/>
        </w:rPr>
        <w:t>Russian Tax Code</w:t>
      </w:r>
      <w:r w:rsidRPr="00C40532">
        <w:rPr>
          <w:rStyle w:val="apple-converted-space"/>
          <w:color w:val="222222"/>
          <w:lang w:val="en-US"/>
        </w:rPr>
        <w:t> </w:t>
      </w:r>
      <w:r w:rsidRPr="00C40532">
        <w:rPr>
          <w:color w:val="222222"/>
          <w:lang w:val="en-US"/>
        </w:rPr>
        <w:t>(</w:t>
      </w:r>
      <w:r w:rsidR="00AA3725">
        <w:fldChar w:fldCharType="begin"/>
      </w:r>
      <w:r w:rsidR="00AA3725" w:rsidRPr="003E0431">
        <w:rPr>
          <w:lang w:val="en-US"/>
        </w:rPr>
        <w:instrText>HYPERLINK "https://en.wikipedia.org/wiki/Russian_language" \o "Russian language"</w:instrText>
      </w:r>
      <w:r w:rsidR="00AA3725">
        <w:fldChar w:fldCharType="separate"/>
      </w:r>
      <w:r w:rsidRPr="00C40532">
        <w:rPr>
          <w:rStyle w:val="a5"/>
          <w:color w:val="0B0080"/>
          <w:lang w:val="en-US"/>
        </w:rPr>
        <w:t>Russian</w:t>
      </w:r>
      <w:r w:rsidR="00AA3725">
        <w:fldChar w:fldCharType="end"/>
      </w:r>
      <w:r w:rsidRPr="00C40532">
        <w:rPr>
          <w:color w:val="222222"/>
          <w:lang w:val="en-US"/>
        </w:rPr>
        <w:t>:</w:t>
      </w:r>
      <w:r w:rsidRPr="00C40532">
        <w:rPr>
          <w:rStyle w:val="apple-converted-space"/>
          <w:color w:val="222222"/>
          <w:lang w:val="en-US"/>
        </w:rPr>
        <w:t> </w:t>
      </w:r>
      <w:r w:rsidRPr="00C40532">
        <w:rPr>
          <w:color w:val="222222"/>
        </w:rPr>
        <w:t>Налоговый</w:t>
      </w:r>
      <w:r w:rsidRPr="00C40532">
        <w:rPr>
          <w:color w:val="222222"/>
          <w:lang w:val="en-US"/>
        </w:rPr>
        <w:t xml:space="preserve"> </w:t>
      </w:r>
      <w:r w:rsidRPr="00C40532">
        <w:rPr>
          <w:color w:val="222222"/>
        </w:rPr>
        <w:t>кодекс</w:t>
      </w:r>
      <w:r w:rsidRPr="00C40532">
        <w:rPr>
          <w:color w:val="222222"/>
          <w:lang w:val="en-US"/>
        </w:rPr>
        <w:t xml:space="preserve"> </w:t>
      </w:r>
      <w:r w:rsidRPr="00C40532">
        <w:rPr>
          <w:color w:val="222222"/>
        </w:rPr>
        <w:t>Российской</w:t>
      </w:r>
      <w:r w:rsidRPr="00C40532">
        <w:rPr>
          <w:color w:val="222222"/>
          <w:lang w:val="en-US"/>
        </w:rPr>
        <w:t xml:space="preserve"> </w:t>
      </w:r>
      <w:r w:rsidRPr="00C40532">
        <w:rPr>
          <w:color w:val="222222"/>
        </w:rPr>
        <w:t>Федерации</w:t>
      </w:r>
      <w:r w:rsidRPr="00C40532">
        <w:rPr>
          <w:color w:val="222222"/>
          <w:lang w:val="en-US"/>
        </w:rPr>
        <w:t>) is the primary tax law for the</w:t>
      </w:r>
      <w:r w:rsidRPr="00C40532">
        <w:rPr>
          <w:rStyle w:val="apple-converted-space"/>
          <w:color w:val="222222"/>
          <w:lang w:val="en-US"/>
        </w:rPr>
        <w:t> </w:t>
      </w:r>
      <w:r w:rsidR="00AA3725">
        <w:fldChar w:fldCharType="begin"/>
      </w:r>
      <w:r w:rsidR="00AA3725" w:rsidRPr="003E0431">
        <w:rPr>
          <w:lang w:val="en-US"/>
        </w:rPr>
        <w:instrText>HYPERLINK "https://en.wikipedia.org/wiki/Russian_Federation" \o "Russian Federation"</w:instrText>
      </w:r>
      <w:r w:rsidR="00AA3725">
        <w:fldChar w:fldCharType="separate"/>
      </w:r>
      <w:r w:rsidRPr="00C40532">
        <w:rPr>
          <w:rStyle w:val="a5"/>
          <w:color w:val="0B0080"/>
          <w:lang w:val="en-US"/>
        </w:rPr>
        <w:t>Russian Federation</w:t>
      </w:r>
      <w:r w:rsidR="00AA3725">
        <w:fldChar w:fldCharType="end"/>
      </w:r>
      <w:r w:rsidRPr="00C40532">
        <w:rPr>
          <w:color w:val="222222"/>
          <w:lang w:val="en-US"/>
        </w:rPr>
        <w:t>. The Code was created, adopted and implemented in three stages.</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The first part, enacted July 31, 1998, also referred to as the</w:t>
      </w:r>
      <w:r w:rsidRPr="00C40532">
        <w:rPr>
          <w:rStyle w:val="apple-converted-space"/>
          <w:color w:val="222222"/>
          <w:lang w:val="en-US"/>
        </w:rPr>
        <w:t> </w:t>
      </w:r>
      <w:r w:rsidRPr="00C40532">
        <w:rPr>
          <w:i/>
          <w:iCs/>
          <w:color w:val="222222"/>
          <w:lang w:val="en-US"/>
        </w:rPr>
        <w:t>General Part</w:t>
      </w:r>
      <w:r w:rsidRPr="00C40532">
        <w:rPr>
          <w:color w:val="222222"/>
          <w:lang w:val="en-US"/>
        </w:rPr>
        <w:t>, regulates relationships among taxpayers, tax agents, tax-collecting authorities and legislators, tax audit procedures, resolution of disputes, and enforcement of law.</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lastRenderedPageBreak/>
        <w:t>The second part, enacted on August 5, 2001, defines specific taxes, rates, payment schedules, and detailed procedures for tax calculations. It was significantly amended in 2001–2003 with additions like the new</w:t>
      </w:r>
      <w:r w:rsidRPr="00C40532">
        <w:rPr>
          <w:rStyle w:val="apple-converted-space"/>
          <w:color w:val="222222"/>
          <w:lang w:val="en-US"/>
        </w:rPr>
        <w:t> </w:t>
      </w:r>
      <w:r w:rsidR="00AA3725">
        <w:fldChar w:fldCharType="begin"/>
      </w:r>
      <w:r w:rsidR="00AA3725" w:rsidRPr="003E0431">
        <w:rPr>
          <w:lang w:val="en-US"/>
        </w:rPr>
        <w:instrText>HYPERLINK "https://en.wikipedia.org/wiki/Corporate_tax" \o "Corporate tax"</w:instrText>
      </w:r>
      <w:r w:rsidR="00AA3725">
        <w:fldChar w:fldCharType="separate"/>
      </w:r>
      <w:r w:rsidRPr="00C40532">
        <w:rPr>
          <w:rStyle w:val="a5"/>
          <w:color w:val="0B0080"/>
          <w:lang w:val="en-US"/>
        </w:rPr>
        <w:t>corporate profits tax</w:t>
      </w:r>
      <w:r w:rsidR="00AA3725">
        <w:fldChar w:fldCharType="end"/>
      </w:r>
      <w:r w:rsidRPr="00C40532">
        <w:rPr>
          <w:rStyle w:val="apple-converted-space"/>
          <w:color w:val="222222"/>
          <w:lang w:val="en-US"/>
        </w:rPr>
        <w:t> </w:t>
      </w:r>
      <w:r w:rsidRPr="00C40532">
        <w:rPr>
          <w:color w:val="222222"/>
          <w:lang w:val="en-US"/>
        </w:rPr>
        <w:t>section and the new</w:t>
      </w:r>
      <w:r w:rsidRPr="00C40532">
        <w:rPr>
          <w:rStyle w:val="apple-converted-space"/>
          <w:color w:val="222222"/>
          <w:lang w:val="en-US"/>
        </w:rPr>
        <w:t> </w:t>
      </w:r>
      <w:r w:rsidR="00AA3725">
        <w:fldChar w:fldCharType="begin"/>
      </w:r>
      <w:r w:rsidR="00AA3725" w:rsidRPr="003E0431">
        <w:rPr>
          <w:lang w:val="en-US"/>
        </w:rPr>
        <w:instrText>HYPERLINK "https://en.wikipedia.org/wiki/Taxation_in_Russia" \l "Special_taxation_frameworks"</w:instrText>
      </w:r>
      <w:r w:rsidR="00AA3725">
        <w:fldChar w:fldCharType="separate"/>
      </w:r>
      <w:r w:rsidRPr="00C40532">
        <w:rPr>
          <w:rStyle w:val="a5"/>
          <w:color w:val="0B0080"/>
          <w:lang w:val="en-US"/>
        </w:rPr>
        <w:t>simplified tax system for small business</w:t>
      </w:r>
      <w:r w:rsidR="00AA3725">
        <w:fldChar w:fldCharType="end"/>
      </w:r>
      <w:r w:rsidRPr="00C40532">
        <w:rPr>
          <w:color w:val="222222"/>
          <w:lang w:val="en-US"/>
        </w:rPr>
        <w:t>. The Code is subject to regular changes which are effected through federal laws.</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The Code is designed as a complete national system for federal, regional and local taxes but excludes</w:t>
      </w:r>
      <w:r w:rsidRPr="00C40532">
        <w:rPr>
          <w:rStyle w:val="apple-converted-space"/>
          <w:color w:val="222222"/>
          <w:lang w:val="en-US"/>
        </w:rPr>
        <w:t> </w:t>
      </w:r>
      <w:r w:rsidR="00AA3725">
        <w:fldChar w:fldCharType="begin"/>
      </w:r>
      <w:r w:rsidR="00AA3725" w:rsidRPr="003E0431">
        <w:rPr>
          <w:lang w:val="en-US"/>
        </w:rPr>
        <w:instrText>HYPERLINK "https://en.wikipedia.org/wiki/Russian_Customs_Tariff" \o "Russian Customs Tariff"</w:instrText>
      </w:r>
      <w:r w:rsidR="00AA3725">
        <w:fldChar w:fldCharType="separate"/>
      </w:r>
      <w:r w:rsidRPr="00C40532">
        <w:rPr>
          <w:rStyle w:val="a5"/>
          <w:color w:val="0B0080"/>
          <w:lang w:val="en-US"/>
        </w:rPr>
        <w:t>customs tariffs</w:t>
      </w:r>
      <w:r w:rsidR="00AA3725">
        <w:fldChar w:fldCharType="end"/>
      </w:r>
      <w:r w:rsidRPr="00C40532">
        <w:rPr>
          <w:color w:val="222222"/>
          <w:lang w:val="en-US"/>
        </w:rPr>
        <w:t>. Rules and rates of regional and local taxation must conform to the framework established by the Code. Taxes or levies not listed explicitly by the Code or enacted in violation of its specific provisions are deemed illegal and void.</w:t>
      </w:r>
      <w:r w:rsidR="00AA3725">
        <w:fldChar w:fldCharType="begin"/>
      </w:r>
      <w:r w:rsidR="00AA3725" w:rsidRPr="003E0431">
        <w:rPr>
          <w:lang w:val="en-US"/>
        </w:rPr>
        <w:instrText>HYPERLINK "https://en.wikipedia.org/wiki/Taxation_in_Russia" \l "cite_note-1"</w:instrText>
      </w:r>
      <w:r w:rsidR="00AA3725">
        <w:fldChar w:fldCharType="separate"/>
      </w:r>
      <w:r w:rsidRPr="00C40532">
        <w:rPr>
          <w:rStyle w:val="a5"/>
          <w:color w:val="0B0080"/>
          <w:vertAlign w:val="superscript"/>
          <w:lang w:val="en-US"/>
        </w:rPr>
        <w:t>[1]</w:t>
      </w:r>
      <w:r w:rsidR="00AA3725">
        <w:fldChar w:fldCharType="end"/>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The Russian tax system tends to use moderate</w:t>
      </w:r>
      <w:r w:rsidRPr="00C40532">
        <w:rPr>
          <w:rStyle w:val="apple-converted-space"/>
          <w:color w:val="222222"/>
          <w:lang w:val="en-US"/>
        </w:rPr>
        <w:t> </w:t>
      </w:r>
      <w:r w:rsidR="00AA3725">
        <w:fldChar w:fldCharType="begin"/>
      </w:r>
      <w:r w:rsidR="00AA3725" w:rsidRPr="003E0431">
        <w:rPr>
          <w:lang w:val="en-US"/>
        </w:rPr>
        <w:instrText>HYPERLINK "https://en.wikipedia.org/wiki/Flat_tax" \o "Flat tax"</w:instrText>
      </w:r>
      <w:r w:rsidR="00AA3725">
        <w:fldChar w:fldCharType="separate"/>
      </w:r>
      <w:r w:rsidRPr="00C40532">
        <w:rPr>
          <w:rStyle w:val="a5"/>
          <w:color w:val="0B0080"/>
          <w:lang w:val="en-US"/>
        </w:rPr>
        <w:t>flat</w:t>
      </w:r>
      <w:r w:rsidR="00AA3725">
        <w:fldChar w:fldCharType="end"/>
      </w:r>
      <w:r w:rsidRPr="00C40532">
        <w:rPr>
          <w:rStyle w:val="apple-converted-space"/>
          <w:color w:val="222222"/>
          <w:lang w:val="en-US"/>
        </w:rPr>
        <w:t> </w:t>
      </w:r>
      <w:r w:rsidRPr="00C40532">
        <w:rPr>
          <w:color w:val="222222"/>
          <w:lang w:val="en-US"/>
        </w:rPr>
        <w:t>or</w:t>
      </w:r>
      <w:r w:rsidRPr="00C40532">
        <w:rPr>
          <w:rStyle w:val="apple-converted-space"/>
          <w:color w:val="222222"/>
          <w:lang w:val="en-US"/>
        </w:rPr>
        <w:t> </w:t>
      </w:r>
      <w:r w:rsidR="00AA3725">
        <w:fldChar w:fldCharType="begin"/>
      </w:r>
      <w:r w:rsidR="00AA3725" w:rsidRPr="003E0431">
        <w:rPr>
          <w:lang w:val="en-US"/>
        </w:rPr>
        <w:instrText>HYPERLINK "https://en.wikipedia.org/wiki/Regressive_tax" \o "Regressive tax"</w:instrText>
      </w:r>
      <w:r w:rsidR="00AA3725">
        <w:fldChar w:fldCharType="separate"/>
      </w:r>
      <w:r w:rsidRPr="00C40532">
        <w:rPr>
          <w:rStyle w:val="a5"/>
          <w:color w:val="0B0080"/>
          <w:lang w:val="en-US"/>
        </w:rPr>
        <w:t>regressive tax</w:t>
      </w:r>
      <w:r w:rsidR="00AA3725">
        <w:fldChar w:fldCharType="end"/>
      </w:r>
      <w:r w:rsidRPr="00C40532">
        <w:rPr>
          <w:rStyle w:val="apple-converted-space"/>
          <w:color w:val="222222"/>
          <w:lang w:val="en-US"/>
        </w:rPr>
        <w:t> </w:t>
      </w:r>
      <w:r w:rsidRPr="00C40532">
        <w:rPr>
          <w:color w:val="222222"/>
          <w:lang w:val="en-US"/>
        </w:rPr>
        <w:t>rates. It is highly centralized for a</w:t>
      </w:r>
      <w:r w:rsidRPr="00C40532">
        <w:rPr>
          <w:rStyle w:val="apple-converted-space"/>
          <w:color w:val="222222"/>
          <w:lang w:val="en-US"/>
        </w:rPr>
        <w:t> </w:t>
      </w:r>
      <w:r w:rsidR="00AA3725">
        <w:fldChar w:fldCharType="begin"/>
      </w:r>
      <w:r w:rsidR="00AA3725" w:rsidRPr="003E0431">
        <w:rPr>
          <w:lang w:val="en-US"/>
        </w:rPr>
        <w:instrText>HYPERLINK "https://en.wikipedia.org/wiki/Federal_state" \o "Federal state"</w:instrText>
      </w:r>
      <w:r w:rsidR="00AA3725">
        <w:fldChar w:fldCharType="separate"/>
      </w:r>
      <w:r w:rsidRPr="00C40532">
        <w:rPr>
          <w:rStyle w:val="a5"/>
          <w:color w:val="0B0080"/>
          <w:lang w:val="en-US"/>
        </w:rPr>
        <w:t>federal state</w:t>
      </w:r>
      <w:r w:rsidR="00AA3725">
        <w:fldChar w:fldCharType="end"/>
      </w:r>
      <w:r w:rsidRPr="00C40532">
        <w:rPr>
          <w:rStyle w:val="apple-converted-space"/>
          <w:color w:val="222222"/>
          <w:lang w:val="en-US"/>
        </w:rPr>
        <w:t> </w:t>
      </w:r>
      <w:r w:rsidRPr="00C40532">
        <w:rPr>
          <w:color w:val="222222"/>
          <w:lang w:val="en-US"/>
        </w:rPr>
        <w:t>and relies heavily on proceeds from</w:t>
      </w:r>
      <w:r w:rsidRPr="00C40532">
        <w:rPr>
          <w:rStyle w:val="apple-converted-space"/>
          <w:color w:val="222222"/>
          <w:lang w:val="en-US"/>
        </w:rPr>
        <w:t> </w:t>
      </w:r>
      <w:r w:rsidR="00AA3725">
        <w:fldChar w:fldCharType="begin"/>
      </w:r>
      <w:r w:rsidR="00AA3725" w:rsidRPr="003E0431">
        <w:rPr>
          <w:lang w:val="en-US"/>
        </w:rPr>
        <w:instrText>HYPERLINK "https://en.wikipedia.org/wiki/Energy_policy_of_Russia" \o "Energy policy of Russia"</w:instrText>
      </w:r>
      <w:r w:rsidR="00AA3725">
        <w:fldChar w:fldCharType="separate"/>
      </w:r>
      <w:r w:rsidRPr="00C40532">
        <w:rPr>
          <w:rStyle w:val="a5"/>
          <w:color w:val="0B0080"/>
          <w:lang w:val="en-US"/>
        </w:rPr>
        <w:t>oil and natural gas</w:t>
      </w:r>
      <w:r w:rsidR="00AA3725">
        <w:fldChar w:fldCharType="end"/>
      </w:r>
      <w:r w:rsidRPr="00C40532">
        <w:rPr>
          <w:rStyle w:val="apple-converted-space"/>
          <w:color w:val="222222"/>
          <w:lang w:val="en-US"/>
        </w:rPr>
        <w:t> </w:t>
      </w:r>
      <w:r w:rsidRPr="00C40532">
        <w:rPr>
          <w:color w:val="222222"/>
          <w:lang w:val="en-US"/>
        </w:rPr>
        <w:t>corporations. In 2006 the tax burden on oil companies exceeded 45 percent of net sales (compared to 12 percent in</w:t>
      </w:r>
      <w:r w:rsidRPr="00C40532">
        <w:rPr>
          <w:rStyle w:val="apple-converted-space"/>
          <w:color w:val="222222"/>
          <w:lang w:val="en-US"/>
        </w:rPr>
        <w:t> </w:t>
      </w:r>
      <w:r w:rsidR="00AA3725">
        <w:fldChar w:fldCharType="begin"/>
      </w:r>
      <w:r w:rsidR="00AA3725" w:rsidRPr="003E0431">
        <w:rPr>
          <w:lang w:val="en-US"/>
        </w:rPr>
        <w:instrText>HYPERLINK "https://en.wikipedia.org/wiki/Construction" \o "Construction"</w:instrText>
      </w:r>
      <w:r w:rsidR="00AA3725">
        <w:fldChar w:fldCharType="separate"/>
      </w:r>
      <w:r w:rsidRPr="00C40532">
        <w:rPr>
          <w:rStyle w:val="a5"/>
          <w:color w:val="0B0080"/>
          <w:lang w:val="en-US"/>
        </w:rPr>
        <w:t>construction</w:t>
      </w:r>
      <w:r w:rsidR="00AA3725">
        <w:fldChar w:fldCharType="end"/>
      </w:r>
      <w:r w:rsidRPr="00C40532">
        <w:rPr>
          <w:rStyle w:val="apple-converted-space"/>
          <w:color w:val="222222"/>
          <w:lang w:val="en-US"/>
        </w:rPr>
        <w:t> </w:t>
      </w:r>
      <w:r w:rsidRPr="00C40532">
        <w:rPr>
          <w:color w:val="222222"/>
          <w:lang w:val="en-US"/>
        </w:rPr>
        <w:t>and 16.5 percent in</w:t>
      </w:r>
      <w:r w:rsidRPr="00C40532">
        <w:rPr>
          <w:rStyle w:val="apple-converted-space"/>
          <w:color w:val="222222"/>
          <w:lang w:val="en-US"/>
        </w:rPr>
        <w:t> </w:t>
      </w:r>
      <w:r w:rsidR="00AA3725">
        <w:fldChar w:fldCharType="begin"/>
      </w:r>
      <w:r w:rsidR="00AA3725" w:rsidRPr="003E0431">
        <w:rPr>
          <w:lang w:val="en-US"/>
        </w:rPr>
        <w:instrText>HYPERLINK "https://en.wikipedia.org/wiki/Telecommunications" \o "Telecommunications"</w:instrText>
      </w:r>
      <w:r w:rsidR="00AA3725">
        <w:fldChar w:fldCharType="separate"/>
      </w:r>
      <w:r w:rsidRPr="00C40532">
        <w:rPr>
          <w:rStyle w:val="a5"/>
          <w:color w:val="0B0080"/>
          <w:lang w:val="en-US"/>
        </w:rPr>
        <w:t>telecommunications</w:t>
      </w:r>
      <w:r w:rsidR="00AA3725">
        <w:fldChar w:fldCharType="end"/>
      </w:r>
      <w:r w:rsidRPr="00C40532">
        <w:rPr>
          <w:color w:val="222222"/>
          <w:lang w:val="en-US"/>
        </w:rPr>
        <w:t>).</w:t>
      </w:r>
      <w:r w:rsidR="00AA3725">
        <w:fldChar w:fldCharType="begin"/>
      </w:r>
      <w:r w:rsidR="00AA3725" w:rsidRPr="003E0431">
        <w:rPr>
          <w:lang w:val="en-US"/>
        </w:rPr>
        <w:instrText>HYPERLINK "https://en.wikipedia.org/wiki/Taxation_in_Russia" \l "cite_note-2"</w:instrText>
      </w:r>
      <w:r w:rsidR="00AA3725">
        <w:fldChar w:fldCharType="separate"/>
      </w:r>
      <w:r w:rsidRPr="00C40532">
        <w:rPr>
          <w:rStyle w:val="a5"/>
          <w:color w:val="0B0080"/>
          <w:vertAlign w:val="superscript"/>
          <w:lang w:val="en-US"/>
        </w:rPr>
        <w:t>[2]</w:t>
      </w:r>
      <w:r w:rsidR="00AA3725">
        <w:fldChar w:fldCharType="end"/>
      </w:r>
      <w:r w:rsidRPr="00C40532">
        <w:rPr>
          <w:rStyle w:val="apple-converted-space"/>
          <w:color w:val="222222"/>
          <w:lang w:val="en-US"/>
        </w:rPr>
        <w:t> </w:t>
      </w:r>
      <w:r w:rsidRPr="00C40532">
        <w:rPr>
          <w:color w:val="222222"/>
          <w:lang w:val="en-US"/>
        </w:rPr>
        <w:t>Rates for oil-related taxes and tariffs, unlike regular taxes, are set not by the Tax Code but by government decree. The Russian Ministry of Finance estimates that revenues regulated by the Tax Code will account for 68 percent of federal revenue in 2008</w:t>
      </w:r>
      <w:r w:rsidRPr="00C40532">
        <w:rPr>
          <w:rStyle w:val="apple-converted-space"/>
          <w:color w:val="222222"/>
          <w:lang w:val="en-US"/>
        </w:rPr>
        <w:t> </w:t>
      </w:r>
      <w:r w:rsidR="00AA3725">
        <w:fldChar w:fldCharType="begin"/>
      </w:r>
      <w:r w:rsidR="00AA3725" w:rsidRPr="003E0431">
        <w:rPr>
          <w:lang w:val="en-US"/>
        </w:rPr>
        <w:instrText>HYPERLINK "https://en.wikipedia.org/wiki/Fiscal_year" \o "Fiscal year"</w:instrText>
      </w:r>
      <w:r w:rsidR="00AA3725">
        <w:fldChar w:fldCharType="separate"/>
      </w:r>
      <w:r w:rsidRPr="00C40532">
        <w:rPr>
          <w:rStyle w:val="a5"/>
          <w:color w:val="0B0080"/>
          <w:lang w:val="en-US"/>
        </w:rPr>
        <w:t>fiscal year</w:t>
      </w:r>
      <w:r w:rsidR="00AA3725">
        <w:fldChar w:fldCharType="end"/>
      </w:r>
      <w:r w:rsidRPr="00C40532">
        <w:rPr>
          <w:color w:val="222222"/>
          <w:lang w:val="en-US"/>
        </w:rPr>
        <w:t>, rising to 73 percent in 2010.</w:t>
      </w:r>
    </w:p>
    <w:p w:rsidR="00472A60" w:rsidRPr="00C40532" w:rsidRDefault="00472A60" w:rsidP="00472A60">
      <w:pPr>
        <w:pStyle w:val="2"/>
        <w:pBdr>
          <w:bottom w:val="single" w:sz="6" w:space="0" w:color="A2A9B1"/>
        </w:pBdr>
        <w:shd w:val="clear" w:color="auto" w:fill="FFFFFF"/>
        <w:spacing w:before="0" w:beforeAutospacing="0" w:after="0" w:afterAutospacing="0"/>
        <w:jc w:val="both"/>
        <w:rPr>
          <w:b w:val="0"/>
          <w:bCs w:val="0"/>
          <w:color w:val="000000"/>
          <w:sz w:val="24"/>
          <w:szCs w:val="24"/>
          <w:lang w:val="en-US"/>
        </w:rPr>
      </w:pPr>
      <w:r w:rsidRPr="00C40532">
        <w:rPr>
          <w:rStyle w:val="mw-headline"/>
          <w:b w:val="0"/>
          <w:bCs w:val="0"/>
          <w:color w:val="000000"/>
          <w:sz w:val="24"/>
          <w:szCs w:val="24"/>
          <w:lang w:val="en-US"/>
        </w:rPr>
        <w:t xml:space="preserve">Federal </w:t>
      </w:r>
      <w:proofErr w:type="gramStart"/>
      <w:r w:rsidRPr="00C40532">
        <w:rPr>
          <w:rStyle w:val="mw-headline"/>
          <w:b w:val="0"/>
          <w:bCs w:val="0"/>
          <w:color w:val="000000"/>
          <w:sz w:val="24"/>
          <w:szCs w:val="24"/>
          <w:lang w:val="en-US"/>
        </w:rPr>
        <w:t>taxes</w:t>
      </w:r>
      <w:r w:rsidRPr="00C40532">
        <w:rPr>
          <w:rStyle w:val="mw-editsection-bracket"/>
          <w:b w:val="0"/>
          <w:bCs w:val="0"/>
          <w:color w:val="555555"/>
          <w:sz w:val="24"/>
          <w:szCs w:val="24"/>
          <w:lang w:val="en-US"/>
        </w:rPr>
        <w:t>[</w:t>
      </w:r>
      <w:proofErr w:type="gramEnd"/>
      <w:r w:rsidR="00AA3725">
        <w:fldChar w:fldCharType="begin"/>
      </w:r>
      <w:r w:rsidR="00004B32" w:rsidRPr="008B4EEF">
        <w:rPr>
          <w:lang w:val="en-US"/>
        </w:rPr>
        <w:instrText>HYPERLINK "https://en.wikipedia.org/w/index.php?title=Taxation_in_Russia&amp;action=edit&amp;section=6" \o "Edit section: Federal taxes"</w:instrText>
      </w:r>
      <w:r w:rsidR="00AA3725">
        <w:fldChar w:fldCharType="separate"/>
      </w:r>
      <w:r w:rsidRPr="00C40532">
        <w:rPr>
          <w:rStyle w:val="a5"/>
          <w:b w:val="0"/>
          <w:bCs w:val="0"/>
          <w:color w:val="0B0080"/>
          <w:sz w:val="24"/>
          <w:szCs w:val="24"/>
          <w:lang w:val="en-US"/>
        </w:rPr>
        <w:t>edit</w:t>
      </w:r>
      <w:r w:rsidR="00AA3725">
        <w:fldChar w:fldCharType="end"/>
      </w:r>
      <w:r w:rsidRPr="00C40532">
        <w:rPr>
          <w:rStyle w:val="mw-editsection-bracket"/>
          <w:b w:val="0"/>
          <w:bCs w:val="0"/>
          <w:color w:val="555555"/>
          <w:sz w:val="24"/>
          <w:szCs w:val="24"/>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Distinction between</w:t>
      </w:r>
      <w:r w:rsidRPr="00C40532">
        <w:rPr>
          <w:rStyle w:val="apple-converted-space"/>
          <w:color w:val="222222"/>
          <w:lang w:val="en-US"/>
        </w:rPr>
        <w:t> </w:t>
      </w:r>
      <w:r w:rsidRPr="00C40532">
        <w:rPr>
          <w:i/>
          <w:iCs/>
          <w:color w:val="222222"/>
          <w:lang w:val="en-US"/>
        </w:rPr>
        <w:t>federal</w:t>
      </w:r>
      <w:r w:rsidRPr="00C40532">
        <w:rPr>
          <w:color w:val="222222"/>
          <w:lang w:val="en-US"/>
        </w:rPr>
        <w:t>,</w:t>
      </w:r>
      <w:r w:rsidRPr="00C40532">
        <w:rPr>
          <w:rStyle w:val="apple-converted-space"/>
          <w:color w:val="222222"/>
          <w:lang w:val="en-US"/>
        </w:rPr>
        <w:t> </w:t>
      </w:r>
      <w:r w:rsidRPr="00C40532">
        <w:rPr>
          <w:i/>
          <w:iCs/>
          <w:color w:val="222222"/>
          <w:lang w:val="en-US"/>
        </w:rPr>
        <w:t>regional</w:t>
      </w:r>
      <w:r w:rsidRPr="00C40532">
        <w:rPr>
          <w:rStyle w:val="apple-converted-space"/>
          <w:color w:val="222222"/>
          <w:lang w:val="en-US"/>
        </w:rPr>
        <w:t> </w:t>
      </w:r>
      <w:r w:rsidRPr="00C40532">
        <w:rPr>
          <w:color w:val="222222"/>
          <w:lang w:val="en-US"/>
        </w:rPr>
        <w:t>and</w:t>
      </w:r>
      <w:r w:rsidRPr="00C40532">
        <w:rPr>
          <w:rStyle w:val="apple-converted-space"/>
          <w:color w:val="222222"/>
          <w:lang w:val="en-US"/>
        </w:rPr>
        <w:t> </w:t>
      </w:r>
      <w:r w:rsidRPr="00C40532">
        <w:rPr>
          <w:i/>
          <w:iCs/>
          <w:color w:val="222222"/>
          <w:lang w:val="en-US"/>
        </w:rPr>
        <w:t>local</w:t>
      </w:r>
      <w:r w:rsidRPr="00C40532">
        <w:rPr>
          <w:rStyle w:val="apple-converted-space"/>
          <w:color w:val="222222"/>
          <w:lang w:val="en-US"/>
        </w:rPr>
        <w:t> </w:t>
      </w:r>
      <w:r w:rsidRPr="00C40532">
        <w:rPr>
          <w:color w:val="222222"/>
          <w:lang w:val="en-US"/>
        </w:rPr>
        <w:t xml:space="preserve">taxes depends on the level of legislature that is entitled to establish rates for that kind of tax. Federal rates are explicitly set by the Tax Code; regional tax rates are limited by the Code but set by regional laws. Federal taxes such as the personal income tax may </w:t>
      </w:r>
      <w:proofErr w:type="gramStart"/>
      <w:r w:rsidRPr="00C40532">
        <w:rPr>
          <w:color w:val="222222"/>
          <w:lang w:val="en-US"/>
        </w:rPr>
        <w:t>forwarded</w:t>
      </w:r>
      <w:proofErr w:type="gramEnd"/>
      <w:r w:rsidRPr="00C40532">
        <w:rPr>
          <w:color w:val="222222"/>
          <w:lang w:val="en-US"/>
        </w:rPr>
        <w:t xml:space="preserve"> to regional governments; corporate profit taxes are split into federal and regional shares defined by the Code.</w:t>
      </w:r>
    </w:p>
    <w:p w:rsidR="00472A60" w:rsidRPr="00C40532" w:rsidRDefault="00AA3725" w:rsidP="00472A60">
      <w:pPr>
        <w:pStyle w:val="a6"/>
        <w:shd w:val="clear" w:color="auto" w:fill="FFFFFF"/>
        <w:spacing w:before="0" w:beforeAutospacing="0" w:after="0" w:afterAutospacing="0"/>
        <w:jc w:val="both"/>
        <w:rPr>
          <w:color w:val="222222"/>
          <w:lang w:val="en-US"/>
        </w:rPr>
      </w:pPr>
      <w:r>
        <w:fldChar w:fldCharType="begin"/>
      </w:r>
      <w:r w:rsidRPr="003E0431">
        <w:rPr>
          <w:lang w:val="en-US"/>
        </w:rPr>
        <w:instrText>HYPERLINK "https://en.wikipedia.org/wiki/Value_added_tax" \o "Value added tax"</w:instrText>
      </w:r>
      <w:r>
        <w:fldChar w:fldCharType="separate"/>
      </w:r>
      <w:r w:rsidR="00472A60" w:rsidRPr="00C40532">
        <w:rPr>
          <w:rStyle w:val="a5"/>
          <w:b/>
          <w:bCs/>
          <w:color w:val="0B0080"/>
          <w:lang w:val="en-US"/>
        </w:rPr>
        <w:t>VAT</w:t>
      </w:r>
      <w:r>
        <w:fldChar w:fldCharType="end"/>
      </w:r>
      <w:r w:rsidR="00472A60" w:rsidRPr="00C40532">
        <w:rPr>
          <w:rStyle w:val="apple-converted-space"/>
          <w:color w:val="222222"/>
          <w:lang w:val="en-US"/>
        </w:rPr>
        <w:t> </w:t>
      </w:r>
      <w:r w:rsidR="00472A60" w:rsidRPr="00C40532">
        <w:rPr>
          <w:color w:val="222222"/>
          <w:lang w:val="en-US"/>
        </w:rPr>
        <w:t>is the largest source of federal revenue (32 percent in 2008).</w:t>
      </w:r>
      <w:r>
        <w:fldChar w:fldCharType="begin"/>
      </w:r>
      <w:r w:rsidRPr="003E0431">
        <w:rPr>
          <w:lang w:val="en-US"/>
        </w:rPr>
        <w:instrText>HYPERLINK "https://en.wikipedia.org/wiki/Taxation_in_Russia" \l "cite_note-MFT-3"</w:instrText>
      </w:r>
      <w:r>
        <w:fldChar w:fldCharType="separate"/>
      </w:r>
      <w:r w:rsidR="00472A60" w:rsidRPr="00C40532">
        <w:rPr>
          <w:rStyle w:val="a5"/>
          <w:color w:val="0B0080"/>
          <w:vertAlign w:val="superscript"/>
          <w:lang w:val="en-US"/>
        </w:rPr>
        <w:t>[3]</w:t>
      </w:r>
      <w:r>
        <w:fldChar w:fldCharType="end"/>
      </w:r>
      <w:r w:rsidR="00472A60" w:rsidRPr="00C40532">
        <w:rPr>
          <w:rStyle w:val="apple-converted-space"/>
          <w:color w:val="222222"/>
          <w:lang w:val="en-US"/>
        </w:rPr>
        <w:t> </w:t>
      </w:r>
      <w:r w:rsidR="00472A60" w:rsidRPr="00C40532">
        <w:rPr>
          <w:color w:val="222222"/>
          <w:lang w:val="en-US"/>
        </w:rPr>
        <w:t>VAT on imports (13 percent of federal revenue) is 18 percent (10 percent on selected foodstuffs) prior to release from the customs warehouse. VAT on domestic goods is calculated as the difference of VAT on sales (at the earliest of cash receipt or shipment of goods on credit) and input VAT on accrued costs.</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 xml:space="preserve">VAT paid to </w:t>
      </w:r>
      <w:proofErr w:type="gramStart"/>
      <w:r w:rsidRPr="00C40532">
        <w:rPr>
          <w:color w:val="222222"/>
          <w:lang w:val="en-US"/>
        </w:rPr>
        <w:t>suppliers that has</w:t>
      </w:r>
      <w:proofErr w:type="gramEnd"/>
      <w:r w:rsidRPr="00C40532">
        <w:rPr>
          <w:color w:val="222222"/>
          <w:lang w:val="en-US"/>
        </w:rPr>
        <w:t xml:space="preserve"> not yet materialized into services or goods cannot be credited against current tax liability. VAT paid to suppliers on export sales is refunded in full if the seller receives payment for exports within 6 months of shipment. Refund of export VAT has become a major source of fraud, while law-abiding exporters have to resort to court action to get the refund</w:t>
      </w:r>
      <w:proofErr w:type="gramStart"/>
      <w:r w:rsidRPr="00C40532">
        <w:rPr>
          <w:color w:val="222222"/>
          <w:lang w:val="en-US"/>
        </w:rPr>
        <w:t>.</w:t>
      </w:r>
      <w:r w:rsidRPr="00C40532">
        <w:rPr>
          <w:color w:val="222222"/>
          <w:vertAlign w:val="superscript"/>
          <w:lang w:val="en-US"/>
        </w:rPr>
        <w:t>[</w:t>
      </w:r>
      <w:proofErr w:type="gramEnd"/>
      <w:r w:rsidR="00AA3725">
        <w:fldChar w:fldCharType="begin"/>
      </w:r>
      <w:r w:rsidR="00004B32" w:rsidRPr="008B4EEF">
        <w:rPr>
          <w:lang w:val="en-US"/>
        </w:rPr>
        <w:instrText>HYPERLINK "https://en.wikipedia.org/wiki/Wikipedia:Citation_needed" \o "Wikipedia:Citation needed"</w:instrText>
      </w:r>
      <w:r w:rsidR="00AA3725">
        <w:fldChar w:fldCharType="separate"/>
      </w:r>
      <w:r w:rsidRPr="00C40532">
        <w:rPr>
          <w:rStyle w:val="a5"/>
          <w:i/>
          <w:iCs/>
          <w:color w:val="0B0080"/>
          <w:vertAlign w:val="superscript"/>
          <w:lang w:val="en-US"/>
        </w:rPr>
        <w:t>citation needed</w:t>
      </w:r>
      <w:r w:rsidR="00AA3725">
        <w:fldChar w:fldCharType="end"/>
      </w:r>
      <w:r w:rsidRPr="00C40532">
        <w:rPr>
          <w:color w:val="222222"/>
          <w:vertAlign w:val="superscript"/>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VAT exemption extends to targeted companies in medicine,</w:t>
      </w:r>
      <w:r w:rsidRPr="00C40532">
        <w:rPr>
          <w:rStyle w:val="apple-converted-space"/>
          <w:color w:val="222222"/>
          <w:lang w:val="en-US"/>
        </w:rPr>
        <w:t> </w:t>
      </w:r>
      <w:r w:rsidR="00AA3725">
        <w:fldChar w:fldCharType="begin"/>
      </w:r>
      <w:r w:rsidR="00AA3725" w:rsidRPr="003E0431">
        <w:rPr>
          <w:lang w:val="en-US"/>
        </w:rPr>
        <w:instrText>HYPERLINK "https://en.wikipedia.org/wiki/Pharmaceutical_industry" \o "Pharmaceutical industry"</w:instrText>
      </w:r>
      <w:r w:rsidR="00AA3725">
        <w:fldChar w:fldCharType="separate"/>
      </w:r>
      <w:r w:rsidRPr="00C40532">
        <w:rPr>
          <w:rStyle w:val="a5"/>
          <w:color w:val="0B0080"/>
          <w:lang w:val="en-US"/>
        </w:rPr>
        <w:t>pharmaceutical industry</w:t>
      </w:r>
      <w:r w:rsidR="00AA3725">
        <w:fldChar w:fldCharType="end"/>
      </w:r>
      <w:r w:rsidRPr="00C40532">
        <w:rPr>
          <w:color w:val="222222"/>
          <w:lang w:val="en-US"/>
        </w:rPr>
        <w:t>, education, public housing and transportation; to private homes and apartments; to traditional</w:t>
      </w:r>
      <w:r w:rsidRPr="00C40532">
        <w:rPr>
          <w:rStyle w:val="apple-converted-space"/>
          <w:color w:val="222222"/>
          <w:lang w:val="en-US"/>
        </w:rPr>
        <w:t> </w:t>
      </w:r>
      <w:r w:rsidR="00AA3725">
        <w:fldChar w:fldCharType="begin"/>
      </w:r>
      <w:r w:rsidR="00AA3725" w:rsidRPr="003E0431">
        <w:rPr>
          <w:lang w:val="en-US"/>
        </w:rPr>
        <w:instrText>HYPERLINK "https://en.wikipedia.org/wiki/Banking" \o "Banking"</w:instrText>
      </w:r>
      <w:r w:rsidR="00AA3725">
        <w:fldChar w:fldCharType="separate"/>
      </w:r>
      <w:r w:rsidRPr="00C40532">
        <w:rPr>
          <w:rStyle w:val="a5"/>
          <w:color w:val="0B0080"/>
          <w:lang w:val="en-US"/>
        </w:rPr>
        <w:t>banking</w:t>
      </w:r>
      <w:r w:rsidR="00AA3725">
        <w:fldChar w:fldCharType="end"/>
      </w:r>
      <w:r w:rsidRPr="00C40532">
        <w:rPr>
          <w:rStyle w:val="apple-converted-space"/>
          <w:color w:val="222222"/>
          <w:lang w:val="en-US"/>
        </w:rPr>
        <w:t> </w:t>
      </w:r>
      <w:r w:rsidRPr="00C40532">
        <w:rPr>
          <w:color w:val="222222"/>
          <w:lang w:val="en-US"/>
        </w:rPr>
        <w:t>and</w:t>
      </w:r>
      <w:r w:rsidRPr="00C40532">
        <w:rPr>
          <w:rStyle w:val="apple-converted-space"/>
          <w:color w:val="222222"/>
          <w:lang w:val="en-US"/>
        </w:rPr>
        <w:t> </w:t>
      </w:r>
      <w:r w:rsidR="00AA3725">
        <w:fldChar w:fldCharType="begin"/>
      </w:r>
      <w:r w:rsidR="00AA3725" w:rsidRPr="003E0431">
        <w:rPr>
          <w:lang w:val="en-US"/>
        </w:rPr>
        <w:instrText>HYPERLINK "https://en.wikipedia.org/wiki/Insurance" \o "Insurance"</w:instrText>
      </w:r>
      <w:r w:rsidR="00AA3725">
        <w:fldChar w:fldCharType="separate"/>
      </w:r>
      <w:r w:rsidRPr="00C40532">
        <w:rPr>
          <w:rStyle w:val="a5"/>
          <w:color w:val="0B0080"/>
          <w:lang w:val="en-US"/>
        </w:rPr>
        <w:t>insurance</w:t>
      </w:r>
      <w:r w:rsidR="00AA3725">
        <w:fldChar w:fldCharType="end"/>
      </w:r>
      <w:r w:rsidRPr="00C40532">
        <w:rPr>
          <w:rStyle w:val="apple-converted-space"/>
          <w:color w:val="222222"/>
          <w:lang w:val="en-US"/>
        </w:rPr>
        <w:t> </w:t>
      </w:r>
      <w:r w:rsidRPr="00C40532">
        <w:rPr>
          <w:color w:val="222222"/>
          <w:lang w:val="en-US"/>
        </w:rPr>
        <w:t>services; to sales of exclusive</w:t>
      </w:r>
      <w:r w:rsidRPr="00C40532">
        <w:rPr>
          <w:rStyle w:val="apple-converted-space"/>
          <w:color w:val="222222"/>
          <w:lang w:val="en-US"/>
        </w:rPr>
        <w:t> </w:t>
      </w:r>
      <w:r w:rsidR="00AA3725">
        <w:fldChar w:fldCharType="begin"/>
      </w:r>
      <w:r w:rsidR="00AA3725" w:rsidRPr="003E0431">
        <w:rPr>
          <w:lang w:val="en-US"/>
        </w:rPr>
        <w:instrText>HYPERLINK "https://en.wikipedia.org/wiki/Copyright" \o "Copyright"</w:instrText>
      </w:r>
      <w:r w:rsidR="00AA3725">
        <w:fldChar w:fldCharType="separate"/>
      </w:r>
      <w:r w:rsidRPr="00C40532">
        <w:rPr>
          <w:rStyle w:val="a5"/>
          <w:color w:val="0B0080"/>
          <w:lang w:val="en-US"/>
        </w:rPr>
        <w:t>copyright</w:t>
      </w:r>
      <w:r w:rsidR="00AA3725">
        <w:fldChar w:fldCharType="end"/>
      </w:r>
      <w:r w:rsidRPr="00C40532">
        <w:rPr>
          <w:rStyle w:val="apple-converted-space"/>
          <w:color w:val="222222"/>
          <w:lang w:val="en-US"/>
        </w:rPr>
        <w:t> </w:t>
      </w:r>
      <w:r w:rsidRPr="00C40532">
        <w:rPr>
          <w:color w:val="222222"/>
          <w:lang w:val="en-US"/>
        </w:rPr>
        <w:t>on</w:t>
      </w:r>
      <w:r w:rsidRPr="00C40532">
        <w:rPr>
          <w:rStyle w:val="apple-converted-space"/>
          <w:color w:val="222222"/>
          <w:lang w:val="en-US"/>
        </w:rPr>
        <w:t> </w:t>
      </w:r>
      <w:r w:rsidR="00AA3725">
        <w:fldChar w:fldCharType="begin"/>
      </w:r>
      <w:r w:rsidR="00AA3725" w:rsidRPr="003E0431">
        <w:rPr>
          <w:lang w:val="en-US"/>
        </w:rPr>
        <w:instrText>HYPERLINK "https://en.wikipedia.org/wiki/Software" \o "Software"</w:instrText>
      </w:r>
      <w:r w:rsidR="00AA3725">
        <w:fldChar w:fldCharType="separate"/>
      </w:r>
      <w:r w:rsidRPr="00C40532">
        <w:rPr>
          <w:rStyle w:val="a5"/>
          <w:color w:val="0B0080"/>
          <w:lang w:val="en-US"/>
        </w:rPr>
        <w:t>software</w:t>
      </w:r>
      <w:r w:rsidR="00AA3725">
        <w:fldChar w:fldCharType="end"/>
      </w:r>
      <w:r w:rsidRPr="00C40532">
        <w:rPr>
          <w:color w:val="222222"/>
          <w:lang w:val="en-US"/>
        </w:rPr>
        <w:t>,</w:t>
      </w:r>
      <w:r w:rsidRPr="00C40532">
        <w:rPr>
          <w:rStyle w:val="apple-converted-space"/>
          <w:color w:val="222222"/>
          <w:lang w:val="en-US"/>
        </w:rPr>
        <w:t> </w:t>
      </w:r>
      <w:r w:rsidR="00AA3725">
        <w:fldChar w:fldCharType="begin"/>
      </w:r>
      <w:r w:rsidR="00AA3725" w:rsidRPr="003E0431">
        <w:rPr>
          <w:lang w:val="en-US"/>
        </w:rPr>
        <w:instrText>HYPERLINK "https://en.wikipedia.org/wiki/Integrated_circuit" \o "Integrated circuit"</w:instrText>
      </w:r>
      <w:r w:rsidR="00AA3725">
        <w:fldChar w:fldCharType="separate"/>
      </w:r>
      <w:r w:rsidRPr="00C40532">
        <w:rPr>
          <w:rStyle w:val="a5"/>
          <w:color w:val="0B0080"/>
          <w:lang w:val="en-US"/>
        </w:rPr>
        <w:t>integrated circuit</w:t>
      </w:r>
      <w:r w:rsidR="00AA3725">
        <w:fldChar w:fldCharType="end"/>
      </w:r>
      <w:r w:rsidRPr="00C40532">
        <w:rPr>
          <w:rStyle w:val="apple-converted-space"/>
          <w:color w:val="222222"/>
          <w:lang w:val="en-US"/>
        </w:rPr>
        <w:t> </w:t>
      </w:r>
      <w:r w:rsidR="00AA3725">
        <w:fldChar w:fldCharType="begin"/>
      </w:r>
      <w:r w:rsidR="00AA3725" w:rsidRPr="003E0431">
        <w:rPr>
          <w:lang w:val="en-US"/>
        </w:rPr>
        <w:instrText>HYPERLINK "https://en.wikipedia.org/wiki/Topology_(electronics)" \o "Topology (electronics)"</w:instrText>
      </w:r>
      <w:r w:rsidR="00AA3725">
        <w:fldChar w:fldCharType="separate"/>
      </w:r>
      <w:r w:rsidRPr="00C40532">
        <w:rPr>
          <w:rStyle w:val="a5"/>
          <w:color w:val="0B0080"/>
          <w:lang w:val="en-US"/>
        </w:rPr>
        <w:t>topologies</w:t>
      </w:r>
      <w:r w:rsidR="00AA3725">
        <w:fldChar w:fldCharType="end"/>
      </w:r>
      <w:r w:rsidRPr="00C40532">
        <w:rPr>
          <w:rStyle w:val="apple-converted-space"/>
          <w:color w:val="222222"/>
          <w:lang w:val="en-US"/>
        </w:rPr>
        <w:t> </w:t>
      </w:r>
      <w:r w:rsidRPr="00C40532">
        <w:rPr>
          <w:color w:val="222222"/>
          <w:lang w:val="en-US"/>
        </w:rPr>
        <w:t>and similar high technology contracts.</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VAT ineligibility is a very common charge by tax authorities. An April 2004 ruling by the</w:t>
      </w:r>
      <w:r w:rsidRPr="00C40532">
        <w:rPr>
          <w:rStyle w:val="apple-converted-space"/>
          <w:color w:val="222222"/>
          <w:lang w:val="en-US"/>
        </w:rPr>
        <w:t> </w:t>
      </w:r>
      <w:r w:rsidR="00AA3725">
        <w:fldChar w:fldCharType="begin"/>
      </w:r>
      <w:r w:rsidR="00AA3725" w:rsidRPr="003E0431">
        <w:rPr>
          <w:lang w:val="en-US"/>
        </w:rPr>
        <w:instrText>HYPERLINK "https://en.wikipedia.org/wiki/Constitutional_Court_of_Russia" \o "Constitutional Court of Russia"</w:instrText>
      </w:r>
      <w:r w:rsidR="00AA3725">
        <w:fldChar w:fldCharType="separate"/>
      </w:r>
      <w:r w:rsidRPr="00C40532">
        <w:rPr>
          <w:rStyle w:val="a5"/>
          <w:color w:val="0B0080"/>
          <w:lang w:val="en-US"/>
        </w:rPr>
        <w:t>Constitutional Court of Russia</w:t>
      </w:r>
      <w:r w:rsidR="00AA3725">
        <w:fldChar w:fldCharType="end"/>
      </w:r>
      <w:r w:rsidRPr="00C40532">
        <w:rPr>
          <w:rStyle w:val="apple-converted-space"/>
          <w:color w:val="222222"/>
          <w:lang w:val="en-US"/>
        </w:rPr>
        <w:t> </w:t>
      </w:r>
      <w:r w:rsidRPr="00C40532">
        <w:rPr>
          <w:color w:val="222222"/>
          <w:lang w:val="en-US"/>
        </w:rPr>
        <w:t>that increased corporate tax liabilities was revoked by Supreme Arbitrage Court in December 2004.</w:t>
      </w:r>
      <w:r w:rsidR="00AA3725">
        <w:fldChar w:fldCharType="begin"/>
      </w:r>
      <w:r w:rsidR="00AA3725" w:rsidRPr="003E0431">
        <w:rPr>
          <w:lang w:val="en-US"/>
        </w:rPr>
        <w:instrText>HYPERLINK "https://en.wikipedia.org/wiki/Taxation_in_Russia" \l "cite_note-29"</w:instrText>
      </w:r>
      <w:r w:rsidR="00AA3725">
        <w:fldChar w:fldCharType="separate"/>
      </w:r>
      <w:r w:rsidRPr="00C40532">
        <w:rPr>
          <w:rStyle w:val="a5"/>
          <w:color w:val="0B0080"/>
          <w:vertAlign w:val="superscript"/>
          <w:lang w:val="en-US"/>
        </w:rPr>
        <w:t>[29]</w:t>
      </w:r>
      <w:r w:rsidR="00AA3725">
        <w:fldChar w:fldCharType="end"/>
      </w:r>
      <w:r w:rsidRPr="00C40532">
        <w:rPr>
          <w:rStyle w:val="apple-converted-space"/>
          <w:color w:val="222222"/>
          <w:lang w:val="en-US"/>
        </w:rPr>
        <w:t> </w:t>
      </w:r>
      <w:r w:rsidRPr="00C40532">
        <w:rPr>
          <w:color w:val="222222"/>
          <w:lang w:val="en-US"/>
        </w:rPr>
        <w:t>The Federal Tax Service resolved the same case one year later.</w:t>
      </w:r>
      <w:r w:rsidR="00AA3725">
        <w:fldChar w:fldCharType="begin"/>
      </w:r>
      <w:r w:rsidR="00AA3725" w:rsidRPr="003E0431">
        <w:rPr>
          <w:lang w:val="en-US"/>
        </w:rPr>
        <w:instrText>HYPERLINK "https://en.wikipedia.org/wiki/Taxation_in_Russia" \l "cite_note-30"</w:instrText>
      </w:r>
      <w:r w:rsidR="00AA3725">
        <w:fldChar w:fldCharType="separate"/>
      </w:r>
      <w:r w:rsidRPr="00C40532">
        <w:rPr>
          <w:rStyle w:val="a5"/>
          <w:color w:val="0B0080"/>
          <w:vertAlign w:val="superscript"/>
          <w:lang w:val="en-US"/>
        </w:rPr>
        <w:t>[30]</w:t>
      </w:r>
      <w:r w:rsidR="00AA3725">
        <w:fldChar w:fldCharType="end"/>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b/>
          <w:bCs/>
          <w:color w:val="222222"/>
          <w:lang w:val="en-US"/>
        </w:rPr>
        <w:t>Tax on mineral resource extraction</w:t>
      </w:r>
      <w:r w:rsidRPr="00C40532">
        <w:rPr>
          <w:rStyle w:val="apple-converted-space"/>
          <w:color w:val="222222"/>
          <w:lang w:val="en-US"/>
        </w:rPr>
        <w:t> </w:t>
      </w:r>
      <w:r w:rsidRPr="00C40532">
        <w:rPr>
          <w:color w:val="222222"/>
          <w:lang w:val="en-US"/>
        </w:rPr>
        <w:t>is the second largest source of federal revenue regulated by the Code; most of it is paid by</w:t>
      </w:r>
      <w:r w:rsidRPr="00C40532">
        <w:rPr>
          <w:rStyle w:val="apple-converted-space"/>
          <w:color w:val="222222"/>
          <w:lang w:val="en-US"/>
        </w:rPr>
        <w:t> </w:t>
      </w:r>
      <w:hyperlink r:id="rId91" w:tooltip="Petroleum" w:history="1">
        <w:r w:rsidRPr="00C40532">
          <w:rPr>
            <w:rStyle w:val="a5"/>
            <w:color w:val="0B0080"/>
            <w:lang w:val="en-US"/>
          </w:rPr>
          <w:t>oil</w:t>
        </w:r>
      </w:hyperlink>
      <w:r w:rsidRPr="00C40532">
        <w:rPr>
          <w:rStyle w:val="apple-converted-space"/>
          <w:color w:val="222222"/>
          <w:lang w:val="en-US"/>
        </w:rPr>
        <w:t> </w:t>
      </w:r>
      <w:r w:rsidRPr="00C40532">
        <w:rPr>
          <w:color w:val="222222"/>
          <w:lang w:val="en-US"/>
        </w:rPr>
        <w:t>companies. Tax rates for oil (per metric ton) are set by the government; its formula refers to world market prices (same for all domestic producers) and a "depletion factor", specific to each oil field. The latter has been regularly criticized as a source of corruption and unfair competitive advantage. New oil fields in</w:t>
      </w:r>
      <w:r w:rsidRPr="00C40532">
        <w:rPr>
          <w:rStyle w:val="apple-converted-space"/>
          <w:color w:val="222222"/>
          <w:lang w:val="en-US"/>
        </w:rPr>
        <w:t> </w:t>
      </w:r>
      <w:hyperlink r:id="rId92" w:tooltip="Sakha Republic" w:history="1">
        <w:r w:rsidRPr="00C40532">
          <w:rPr>
            <w:rStyle w:val="a5"/>
            <w:color w:val="0B0080"/>
            <w:lang w:val="en-US"/>
          </w:rPr>
          <w:t>Sakha</w:t>
        </w:r>
      </w:hyperlink>
      <w:r w:rsidRPr="00C40532">
        <w:rPr>
          <w:color w:val="222222"/>
          <w:lang w:val="en-US"/>
        </w:rPr>
        <w:t>,</w:t>
      </w:r>
      <w:r w:rsidRPr="00C40532">
        <w:rPr>
          <w:rStyle w:val="apple-converted-space"/>
          <w:color w:val="222222"/>
          <w:lang w:val="en-US"/>
        </w:rPr>
        <w:t> </w:t>
      </w:r>
      <w:hyperlink r:id="rId93" w:tooltip="Irkutsk Oblast" w:history="1">
        <w:r w:rsidRPr="00C40532">
          <w:rPr>
            <w:rStyle w:val="a5"/>
            <w:color w:val="0B0080"/>
            <w:lang w:val="en-US"/>
          </w:rPr>
          <w:t>Irkutsk Oblast</w:t>
        </w:r>
      </w:hyperlink>
      <w:r w:rsidRPr="00C40532">
        <w:rPr>
          <w:color w:val="222222"/>
          <w:lang w:val="en-US"/>
        </w:rPr>
        <w:t>,</w:t>
      </w:r>
      <w:r w:rsidRPr="00C40532">
        <w:rPr>
          <w:rStyle w:val="apple-converted-space"/>
          <w:color w:val="222222"/>
          <w:lang w:val="en-US"/>
        </w:rPr>
        <w:t> </w:t>
      </w:r>
      <w:hyperlink r:id="rId94" w:tooltip="Krasnoyarsk Krai" w:history="1">
        <w:r w:rsidRPr="00C40532">
          <w:rPr>
            <w:rStyle w:val="a5"/>
            <w:color w:val="0B0080"/>
            <w:lang w:val="en-US"/>
          </w:rPr>
          <w:t>Krasnoyarsk Krai</w:t>
        </w:r>
      </w:hyperlink>
      <w:r w:rsidRPr="00C40532">
        <w:rPr>
          <w:rStyle w:val="apple-converted-space"/>
          <w:color w:val="222222"/>
          <w:lang w:val="en-US"/>
        </w:rPr>
        <w:t> </w:t>
      </w:r>
      <w:r w:rsidRPr="00C40532">
        <w:rPr>
          <w:color w:val="222222"/>
          <w:lang w:val="en-US"/>
        </w:rPr>
        <w:t>are exempt from MRET altogether</w:t>
      </w:r>
      <w:proofErr w:type="gramStart"/>
      <w:r w:rsidRPr="00C40532">
        <w:rPr>
          <w:color w:val="222222"/>
          <w:lang w:val="en-US"/>
        </w:rPr>
        <w:t>.</w:t>
      </w:r>
      <w:r w:rsidRPr="00C40532">
        <w:rPr>
          <w:color w:val="222222"/>
          <w:vertAlign w:val="superscript"/>
          <w:lang w:val="en-US"/>
        </w:rPr>
        <w:t>[</w:t>
      </w:r>
      <w:proofErr w:type="gramEnd"/>
      <w:r w:rsidR="00AA3725">
        <w:fldChar w:fldCharType="begin"/>
      </w:r>
      <w:r w:rsidR="00004B32" w:rsidRPr="008B4EEF">
        <w:rPr>
          <w:lang w:val="en-US"/>
        </w:rPr>
        <w:instrText>HYPERLINK "https://en.wikipedia.org/wiki/Wikipedia:Citation_needed" \o "Wikipedia:Citation needed"</w:instrText>
      </w:r>
      <w:r w:rsidR="00AA3725">
        <w:fldChar w:fldCharType="separate"/>
      </w:r>
      <w:r w:rsidRPr="00C40532">
        <w:rPr>
          <w:rStyle w:val="a5"/>
          <w:i/>
          <w:iCs/>
          <w:color w:val="0B0080"/>
          <w:vertAlign w:val="superscript"/>
          <w:lang w:val="en-US"/>
        </w:rPr>
        <w:t>citation needed</w:t>
      </w:r>
      <w:r w:rsidR="00AA3725">
        <w:fldChar w:fldCharType="end"/>
      </w:r>
      <w:r w:rsidRPr="00C40532">
        <w:rPr>
          <w:color w:val="222222"/>
          <w:vertAlign w:val="superscript"/>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Rates for other mineral resources are set in the Code as a fixed percentage of their market value (from 3.8 percent for</w:t>
      </w:r>
      <w:r w:rsidRPr="00C40532">
        <w:rPr>
          <w:rStyle w:val="apple-converted-space"/>
          <w:color w:val="222222"/>
          <w:lang w:val="en-US"/>
        </w:rPr>
        <w:t> </w:t>
      </w:r>
      <w:hyperlink r:id="rId95" w:tooltip="Category:Potassium minerals" w:history="1">
        <w:r w:rsidRPr="00C40532">
          <w:rPr>
            <w:rStyle w:val="a5"/>
            <w:color w:val="0B0080"/>
            <w:lang w:val="en-US"/>
          </w:rPr>
          <w:t>potassium salts</w:t>
        </w:r>
      </w:hyperlink>
      <w:r w:rsidRPr="00C40532">
        <w:rPr>
          <w:rStyle w:val="apple-converted-space"/>
          <w:color w:val="222222"/>
          <w:lang w:val="en-US"/>
        </w:rPr>
        <w:t> </w:t>
      </w:r>
      <w:r w:rsidRPr="00C40532">
        <w:rPr>
          <w:color w:val="222222"/>
          <w:lang w:val="en-US"/>
        </w:rPr>
        <w:t>to 17.5 percent for</w:t>
      </w:r>
      <w:r w:rsidRPr="00C40532">
        <w:rPr>
          <w:rStyle w:val="apple-converted-space"/>
          <w:color w:val="222222"/>
          <w:lang w:val="en-US"/>
        </w:rPr>
        <w:t> </w:t>
      </w:r>
      <w:hyperlink r:id="rId96" w:tooltip="Gas condensate" w:history="1">
        <w:r w:rsidRPr="00C40532">
          <w:rPr>
            <w:rStyle w:val="a5"/>
            <w:color w:val="0B0080"/>
            <w:lang w:val="en-US"/>
          </w:rPr>
          <w:t>gas condensate</w:t>
        </w:r>
      </w:hyperlink>
      <w:r w:rsidRPr="00C40532">
        <w:rPr>
          <w:color w:val="222222"/>
          <w:lang w:val="en-US"/>
        </w:rPr>
        <w:t>) or, in case of natural gas, at a fixed amount per unit volume. The tax is paid monthly based on physically extracted tonnage, not sales. A related but separate</w:t>
      </w:r>
      <w:r w:rsidRPr="00C40532">
        <w:rPr>
          <w:rStyle w:val="apple-converted-space"/>
          <w:color w:val="222222"/>
          <w:lang w:val="en-US"/>
        </w:rPr>
        <w:t> </w:t>
      </w:r>
      <w:r w:rsidRPr="00C40532">
        <w:rPr>
          <w:b/>
          <w:bCs/>
          <w:color w:val="222222"/>
          <w:lang w:val="en-US"/>
        </w:rPr>
        <w:t>Water tax</w:t>
      </w:r>
      <w:r w:rsidRPr="00C40532">
        <w:rPr>
          <w:rStyle w:val="apple-converted-space"/>
          <w:color w:val="222222"/>
          <w:lang w:val="en-US"/>
        </w:rPr>
        <w:t> </w:t>
      </w:r>
      <w:r w:rsidRPr="00C40532">
        <w:rPr>
          <w:color w:val="222222"/>
          <w:lang w:val="en-US"/>
        </w:rPr>
        <w:t xml:space="preserve">is paid by organizations physically extracting surface or </w:t>
      </w:r>
      <w:r w:rsidRPr="00C40532">
        <w:rPr>
          <w:color w:val="222222"/>
          <w:lang w:val="en-US"/>
        </w:rPr>
        <w:lastRenderedPageBreak/>
        <w:t>subterranean fresh water, as well as by</w:t>
      </w:r>
      <w:r w:rsidRPr="00C40532">
        <w:rPr>
          <w:rStyle w:val="apple-converted-space"/>
          <w:color w:val="222222"/>
          <w:lang w:val="en-US"/>
        </w:rPr>
        <w:t> </w:t>
      </w:r>
      <w:hyperlink r:id="rId97" w:tooltip="Hydroelectricity" w:history="1">
        <w:r w:rsidRPr="00C40532">
          <w:rPr>
            <w:rStyle w:val="a5"/>
            <w:color w:val="0B0080"/>
            <w:lang w:val="en-US"/>
          </w:rPr>
          <w:t>hydroelectric powerplants</w:t>
        </w:r>
      </w:hyperlink>
      <w:r w:rsidRPr="00C40532">
        <w:rPr>
          <w:rStyle w:val="apple-converted-space"/>
          <w:color w:val="222222"/>
          <w:lang w:val="en-US"/>
        </w:rPr>
        <w:t> </w:t>
      </w:r>
      <w:r w:rsidRPr="00C40532">
        <w:rPr>
          <w:color w:val="222222"/>
          <w:lang w:val="en-US"/>
        </w:rPr>
        <w:t>and</w:t>
      </w:r>
      <w:r w:rsidRPr="00C40532">
        <w:rPr>
          <w:rStyle w:val="apple-converted-space"/>
          <w:color w:val="222222"/>
          <w:lang w:val="en-US"/>
        </w:rPr>
        <w:t> </w:t>
      </w:r>
      <w:hyperlink r:id="rId98" w:tooltip="Timber rafting" w:history="1">
        <w:r w:rsidRPr="00C40532">
          <w:rPr>
            <w:rStyle w:val="a5"/>
            <w:color w:val="0B0080"/>
            <w:lang w:val="en-US"/>
          </w:rPr>
          <w:t>timber rafting</w:t>
        </w:r>
      </w:hyperlink>
      <w:r w:rsidRPr="00C40532">
        <w:rPr>
          <w:rStyle w:val="apple-converted-space"/>
          <w:color w:val="222222"/>
          <w:lang w:val="en-US"/>
        </w:rPr>
        <w:t> </w:t>
      </w:r>
      <w:r w:rsidRPr="00C40532">
        <w:rPr>
          <w:color w:val="222222"/>
          <w:lang w:val="en-US"/>
        </w:rPr>
        <w:t>loggers</w:t>
      </w:r>
      <w:proofErr w:type="gramStart"/>
      <w:r w:rsidRPr="00C40532">
        <w:rPr>
          <w:color w:val="222222"/>
          <w:lang w:val="en-US"/>
        </w:rPr>
        <w:t>.</w:t>
      </w:r>
      <w:r w:rsidRPr="00C40532">
        <w:rPr>
          <w:color w:val="222222"/>
          <w:vertAlign w:val="superscript"/>
          <w:lang w:val="en-US"/>
        </w:rPr>
        <w:t>[</w:t>
      </w:r>
      <w:proofErr w:type="gramEnd"/>
      <w:r w:rsidR="00AA3725">
        <w:fldChar w:fldCharType="begin"/>
      </w:r>
      <w:r w:rsidR="00004B32" w:rsidRPr="008B4EEF">
        <w:rPr>
          <w:lang w:val="en-US"/>
        </w:rPr>
        <w:instrText>HYPERLINK "https://en.wikipedia.org/wiki/Wikipedia:Citation_needed" \o "Wikipedia:Citation needed"</w:instrText>
      </w:r>
      <w:r w:rsidR="00AA3725">
        <w:fldChar w:fldCharType="separate"/>
      </w:r>
      <w:r w:rsidRPr="00C40532">
        <w:rPr>
          <w:rStyle w:val="a5"/>
          <w:i/>
          <w:iCs/>
          <w:color w:val="0B0080"/>
          <w:vertAlign w:val="superscript"/>
          <w:lang w:val="en-US"/>
        </w:rPr>
        <w:t>citation needed</w:t>
      </w:r>
      <w:r w:rsidR="00AA3725">
        <w:fldChar w:fldCharType="end"/>
      </w:r>
      <w:r w:rsidRPr="00C40532">
        <w:rPr>
          <w:color w:val="222222"/>
          <w:vertAlign w:val="superscript"/>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b/>
          <w:bCs/>
          <w:color w:val="222222"/>
          <w:lang w:val="en-US"/>
        </w:rPr>
        <w:t>Corporate profit tax</w:t>
      </w:r>
      <w:r w:rsidRPr="00C40532">
        <w:rPr>
          <w:rStyle w:val="apple-converted-space"/>
          <w:color w:val="222222"/>
          <w:lang w:val="en-US"/>
        </w:rPr>
        <w:t> </w:t>
      </w:r>
      <w:r w:rsidRPr="00C40532">
        <w:rPr>
          <w:color w:val="222222"/>
          <w:lang w:val="en-US"/>
        </w:rPr>
        <w:t>is the largest source of regional revenues. The rate for 2009 is 20 percent on pre-tax profits, 2 percent to the federal budget and 18 percent to regional budgets. The rate decreased from 24 percent effective in 2001–2008 in the wake of the</w:t>
      </w:r>
      <w:r w:rsidRPr="00C40532">
        <w:rPr>
          <w:rStyle w:val="apple-converted-space"/>
          <w:color w:val="222222"/>
          <w:lang w:val="en-US"/>
        </w:rPr>
        <w:t> </w:t>
      </w:r>
      <w:r w:rsidR="00AA3725">
        <w:fldChar w:fldCharType="begin"/>
      </w:r>
      <w:r w:rsidR="00AA3725" w:rsidRPr="003E0431">
        <w:rPr>
          <w:lang w:val="en-US"/>
        </w:rPr>
        <w:instrText>HYPERLINK "https://en.wikipedia.org/wiki/2008_Russian_financial_crisis" \o "2008 Russian financial crisis"</w:instrText>
      </w:r>
      <w:r w:rsidR="00AA3725">
        <w:fldChar w:fldCharType="separate"/>
      </w:r>
      <w:r w:rsidRPr="00C40532">
        <w:rPr>
          <w:rStyle w:val="a5"/>
          <w:color w:val="0B0080"/>
          <w:lang w:val="en-US"/>
        </w:rPr>
        <w:t>2008 Russian financial crisis</w:t>
      </w:r>
      <w:r w:rsidR="00AA3725">
        <w:fldChar w:fldCharType="end"/>
      </w:r>
      <w:r w:rsidRPr="00C40532">
        <w:rPr>
          <w:color w:val="222222"/>
          <w:lang w:val="en-US"/>
        </w:rPr>
        <w:t>.</w:t>
      </w:r>
      <w:r w:rsidR="00AA3725">
        <w:fldChar w:fldCharType="begin"/>
      </w:r>
      <w:r w:rsidR="00AA3725" w:rsidRPr="003E0431">
        <w:rPr>
          <w:lang w:val="en-US"/>
        </w:rPr>
        <w:instrText>HYPERLINK "https://en.wikipedia.org/wiki/Taxation_in_Russia" \l "cite_note-R20-31"</w:instrText>
      </w:r>
      <w:r w:rsidR="00AA3725">
        <w:fldChar w:fldCharType="separate"/>
      </w:r>
      <w:r w:rsidRPr="00C40532">
        <w:rPr>
          <w:rStyle w:val="a5"/>
          <w:color w:val="0B0080"/>
          <w:vertAlign w:val="superscript"/>
          <w:lang w:val="en-US"/>
        </w:rPr>
        <w:t>[31]</w:t>
      </w:r>
      <w:r w:rsidR="00AA3725">
        <w:fldChar w:fldCharType="end"/>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Expense deductibility limitations were gradually eliminated in the years following enactment of</w:t>
      </w:r>
      <w:r w:rsidRPr="00C40532">
        <w:rPr>
          <w:rStyle w:val="apple-converted-space"/>
          <w:color w:val="222222"/>
          <w:lang w:val="en-US"/>
        </w:rPr>
        <w:t> </w:t>
      </w:r>
      <w:r w:rsidRPr="00C40532">
        <w:rPr>
          <w:i/>
          <w:iCs/>
          <w:color w:val="222222"/>
          <w:lang w:val="en-US"/>
        </w:rPr>
        <w:t>Chapter 25</w:t>
      </w:r>
      <w:r w:rsidRPr="00C40532">
        <w:rPr>
          <w:color w:val="222222"/>
          <w:lang w:val="en-US"/>
        </w:rPr>
        <w:t>, and as of August, 2008 practically all business expenses are fully deductible. The Code retains a principal statement that deductible expenses must be "economically justified and properly evidenced with documents".</w:t>
      </w:r>
      <w:r w:rsidR="00AA3725">
        <w:fldChar w:fldCharType="begin"/>
      </w:r>
      <w:r w:rsidR="00AA3725" w:rsidRPr="003E0431">
        <w:rPr>
          <w:lang w:val="en-US"/>
        </w:rPr>
        <w:instrText>HYPERLINK "https://en.wikipedia.org/wiki/Taxation_in_Russia" \l "cite_note-32"</w:instrText>
      </w:r>
      <w:r w:rsidR="00AA3725">
        <w:fldChar w:fldCharType="separate"/>
      </w:r>
      <w:r w:rsidRPr="00C40532">
        <w:rPr>
          <w:rStyle w:val="a5"/>
          <w:color w:val="0B0080"/>
          <w:vertAlign w:val="superscript"/>
          <w:lang w:val="en-US"/>
        </w:rPr>
        <w:t>[32]</w:t>
      </w:r>
      <w:r w:rsidR="00AA3725">
        <w:fldChar w:fldCharType="end"/>
      </w:r>
      <w:r w:rsidRPr="00C40532">
        <w:rPr>
          <w:rStyle w:val="apple-converted-space"/>
          <w:color w:val="222222"/>
          <w:lang w:val="en-US"/>
        </w:rPr>
        <w:t> </w:t>
      </w:r>
      <w:r w:rsidRPr="00C40532">
        <w:rPr>
          <w:color w:val="222222"/>
          <w:lang w:val="en-US"/>
        </w:rPr>
        <w:t>The tax authorities manage the specifics. Taxpayers resolve disputes through court litigation; resolutions of upper-tier Arbitrage Courts, clarifying gray areas of tax accounting, form a separate layer of tax environment that augments the Code.</w:t>
      </w:r>
    </w:p>
    <w:p w:rsidR="00472A60" w:rsidRPr="00C40532" w:rsidRDefault="00AA3725" w:rsidP="00472A60">
      <w:pPr>
        <w:pStyle w:val="a6"/>
        <w:shd w:val="clear" w:color="auto" w:fill="FFFFFF"/>
        <w:spacing w:before="0" w:beforeAutospacing="0" w:after="0" w:afterAutospacing="0"/>
        <w:jc w:val="both"/>
        <w:rPr>
          <w:color w:val="222222"/>
          <w:lang w:val="en-US"/>
        </w:rPr>
      </w:pPr>
      <w:hyperlink r:id="rId99" w:tooltip="Double taxation" w:history="1">
        <w:r w:rsidR="00472A60" w:rsidRPr="00C40532">
          <w:rPr>
            <w:rStyle w:val="a5"/>
            <w:color w:val="0B0080"/>
            <w:lang w:val="en-US"/>
          </w:rPr>
          <w:t>Double taxation</w:t>
        </w:r>
      </w:hyperlink>
      <w:r w:rsidR="00472A60" w:rsidRPr="00C40532">
        <w:rPr>
          <w:rStyle w:val="apple-converted-space"/>
          <w:color w:val="222222"/>
          <w:lang w:val="en-US"/>
        </w:rPr>
        <w:t> </w:t>
      </w:r>
      <w:r w:rsidR="00472A60" w:rsidRPr="00C40532">
        <w:rPr>
          <w:color w:val="222222"/>
          <w:lang w:val="en-US"/>
        </w:rPr>
        <w:t>of</w:t>
      </w:r>
      <w:r w:rsidR="00472A60" w:rsidRPr="00C40532">
        <w:rPr>
          <w:rStyle w:val="apple-converted-space"/>
          <w:color w:val="222222"/>
          <w:lang w:val="en-US"/>
        </w:rPr>
        <w:t> </w:t>
      </w:r>
      <w:hyperlink r:id="rId100" w:tooltip="Dividend" w:history="1">
        <w:r w:rsidR="00472A60" w:rsidRPr="00C40532">
          <w:rPr>
            <w:rStyle w:val="a5"/>
            <w:color w:val="0B0080"/>
            <w:lang w:val="en-US"/>
          </w:rPr>
          <w:t>dividends</w:t>
        </w:r>
      </w:hyperlink>
      <w:r w:rsidR="00472A60" w:rsidRPr="00C40532">
        <w:rPr>
          <w:rStyle w:val="apple-converted-space"/>
          <w:color w:val="222222"/>
          <w:lang w:val="en-US"/>
        </w:rPr>
        <w:t> </w:t>
      </w:r>
      <w:r w:rsidR="00472A60" w:rsidRPr="00C40532">
        <w:rPr>
          <w:color w:val="222222"/>
          <w:lang w:val="en-US"/>
        </w:rPr>
        <w:t>is completely eliminated when a Russian shareholder owns at least 50 percent of Russian or foreign</w:t>
      </w:r>
      <w:r w:rsidR="00472A60" w:rsidRPr="00C40532">
        <w:rPr>
          <w:rStyle w:val="apple-converted-space"/>
          <w:color w:val="222222"/>
          <w:lang w:val="en-US"/>
        </w:rPr>
        <w:t> </w:t>
      </w:r>
      <w:hyperlink r:id="rId101" w:tooltip="Subsidiary" w:history="1">
        <w:r w:rsidR="00472A60" w:rsidRPr="00C40532">
          <w:rPr>
            <w:rStyle w:val="a5"/>
            <w:color w:val="0B0080"/>
            <w:lang w:val="en-US"/>
          </w:rPr>
          <w:t>subsidiary</w:t>
        </w:r>
      </w:hyperlink>
      <w:r w:rsidR="00472A60" w:rsidRPr="00C40532">
        <w:rPr>
          <w:rStyle w:val="apple-converted-space"/>
          <w:color w:val="222222"/>
          <w:lang w:val="en-US"/>
        </w:rPr>
        <w:t> </w:t>
      </w:r>
      <w:r w:rsidR="00472A60" w:rsidRPr="00C40532">
        <w:rPr>
          <w:color w:val="222222"/>
          <w:lang w:val="en-US"/>
        </w:rPr>
        <w:t>paying dividends (excluding foreign entities located in</w:t>
      </w:r>
      <w:r w:rsidR="00472A60" w:rsidRPr="00C40532">
        <w:rPr>
          <w:rStyle w:val="apple-converted-space"/>
          <w:color w:val="222222"/>
          <w:lang w:val="en-US"/>
        </w:rPr>
        <w:t> </w:t>
      </w:r>
      <w:hyperlink r:id="rId102" w:tooltip="Tax haven" w:history="1">
        <w:r w:rsidR="00472A60" w:rsidRPr="00C40532">
          <w:rPr>
            <w:rStyle w:val="a5"/>
            <w:color w:val="0B0080"/>
            <w:lang w:val="en-US"/>
          </w:rPr>
          <w:t>tax haven</w:t>
        </w:r>
      </w:hyperlink>
      <w:r w:rsidR="00472A60" w:rsidRPr="00C40532">
        <w:rPr>
          <w:rStyle w:val="apple-converted-space"/>
          <w:color w:val="222222"/>
          <w:lang w:val="en-US"/>
        </w:rPr>
        <w:t> </w:t>
      </w:r>
      <w:r w:rsidR="00472A60" w:rsidRPr="00C40532">
        <w:rPr>
          <w:color w:val="222222"/>
          <w:lang w:val="en-US"/>
        </w:rPr>
        <w:t>jurisdictions) for at least 365 days</w:t>
      </w:r>
      <w:r w:rsidR="00472A60" w:rsidRPr="00C40532">
        <w:rPr>
          <w:rStyle w:val="apple-converted-space"/>
          <w:color w:val="222222"/>
          <w:lang w:val="en-US"/>
        </w:rPr>
        <w:t> </w:t>
      </w:r>
      <w:r w:rsidR="00472A60" w:rsidRPr="00C40532">
        <w:rPr>
          <w:i/>
          <w:iCs/>
          <w:color w:val="222222"/>
          <w:lang w:val="en-US"/>
        </w:rPr>
        <w:t>and</w:t>
      </w:r>
      <w:r w:rsidR="00472A60" w:rsidRPr="00C40532">
        <w:rPr>
          <w:rStyle w:val="apple-converted-space"/>
          <w:color w:val="222222"/>
          <w:lang w:val="en-US"/>
        </w:rPr>
        <w:t> </w:t>
      </w:r>
      <w:r w:rsidR="00472A60" w:rsidRPr="00C40532">
        <w:rPr>
          <w:color w:val="222222"/>
          <w:lang w:val="en-US"/>
        </w:rPr>
        <w:t>the investment is worth more than 500 million roubles. All other dividends received by Russian shareholders are subject to 13 percent tax</w:t>
      </w:r>
      <w:proofErr w:type="gramStart"/>
      <w:r w:rsidR="00472A60" w:rsidRPr="00C40532">
        <w:rPr>
          <w:color w:val="222222"/>
          <w:lang w:val="en-US"/>
        </w:rPr>
        <w:t>,</w:t>
      </w:r>
      <w:proofErr w:type="gramEnd"/>
      <w:r>
        <w:fldChar w:fldCharType="begin"/>
      </w:r>
      <w:r w:rsidR="00004B32" w:rsidRPr="008B4EEF">
        <w:rPr>
          <w:lang w:val="en-US"/>
        </w:rPr>
        <w:instrText>HYPERLINK "https://en.wikipedia.org/wiki/Taxation_in_Russia" \l "cite_note-33"</w:instrText>
      </w:r>
      <w:r>
        <w:fldChar w:fldCharType="separate"/>
      </w:r>
      <w:r w:rsidR="00472A60" w:rsidRPr="00C40532">
        <w:rPr>
          <w:rStyle w:val="a5"/>
          <w:color w:val="0B0080"/>
          <w:vertAlign w:val="superscript"/>
          <w:lang w:val="en-US"/>
        </w:rPr>
        <w:t>[33]</w:t>
      </w:r>
      <w:r>
        <w:fldChar w:fldCharType="end"/>
      </w:r>
      <w:r w:rsidR="00472A60" w:rsidRPr="00C40532">
        <w:rPr>
          <w:rStyle w:val="apple-converted-space"/>
          <w:color w:val="222222"/>
          <w:lang w:val="en-US"/>
        </w:rPr>
        <w:t> </w:t>
      </w:r>
      <w:r w:rsidR="00472A60" w:rsidRPr="00C40532">
        <w:rPr>
          <w:color w:val="222222"/>
          <w:lang w:val="en-US"/>
        </w:rPr>
        <w:t>up from 9% before 2015.</w:t>
      </w:r>
      <w:hyperlink r:id="rId103" w:anchor="cite_note-34" w:history="1">
        <w:r w:rsidR="00472A60" w:rsidRPr="00C40532">
          <w:rPr>
            <w:rStyle w:val="a5"/>
            <w:color w:val="0B0080"/>
            <w:vertAlign w:val="superscript"/>
            <w:lang w:val="en-US"/>
          </w:rPr>
          <w:t>[34]</w:t>
        </w:r>
      </w:hyperlink>
    </w:p>
    <w:p w:rsidR="00472A60" w:rsidRPr="00C40532" w:rsidRDefault="00AA3725" w:rsidP="00472A60">
      <w:pPr>
        <w:pStyle w:val="a6"/>
        <w:shd w:val="clear" w:color="auto" w:fill="FFFFFF"/>
        <w:spacing w:before="0" w:beforeAutospacing="0" w:after="0" w:afterAutospacing="0"/>
        <w:jc w:val="both"/>
        <w:rPr>
          <w:color w:val="222222"/>
          <w:lang w:val="en-US"/>
        </w:rPr>
      </w:pPr>
      <w:hyperlink r:id="rId104" w:tooltip="Excise tax" w:history="1">
        <w:r w:rsidR="00472A60" w:rsidRPr="00C40532">
          <w:rPr>
            <w:rStyle w:val="a5"/>
            <w:b/>
            <w:bCs/>
            <w:color w:val="0B0080"/>
            <w:lang w:val="en-US"/>
          </w:rPr>
          <w:t>Excise tax</w:t>
        </w:r>
      </w:hyperlink>
      <w:r w:rsidR="00472A60" w:rsidRPr="00C40532">
        <w:rPr>
          <w:rStyle w:val="apple-converted-space"/>
          <w:color w:val="222222"/>
          <w:lang w:val="en-US"/>
        </w:rPr>
        <w:t> </w:t>
      </w:r>
      <w:r w:rsidR="00472A60" w:rsidRPr="00C40532">
        <w:rPr>
          <w:color w:val="222222"/>
          <w:lang w:val="en-US"/>
        </w:rPr>
        <w:t>is levied on manufacturers of raw and refined</w:t>
      </w:r>
      <w:r w:rsidR="00472A60" w:rsidRPr="00C40532">
        <w:rPr>
          <w:rStyle w:val="apple-converted-space"/>
          <w:color w:val="222222"/>
          <w:lang w:val="en-US"/>
        </w:rPr>
        <w:t> </w:t>
      </w:r>
      <w:r>
        <w:fldChar w:fldCharType="begin"/>
      </w:r>
      <w:r w:rsidRPr="003E0431">
        <w:rPr>
          <w:lang w:val="en-US"/>
        </w:rPr>
        <w:instrText>HYPERLINK "https://en.wikipedia.org/wiki/Alcohol" \o "Alcohol"</w:instrText>
      </w:r>
      <w:r>
        <w:fldChar w:fldCharType="separate"/>
      </w:r>
      <w:r w:rsidR="00472A60" w:rsidRPr="00C40532">
        <w:rPr>
          <w:rStyle w:val="a5"/>
          <w:color w:val="0B0080"/>
          <w:lang w:val="en-US"/>
        </w:rPr>
        <w:t>alcohol</w:t>
      </w:r>
      <w:r>
        <w:fldChar w:fldCharType="end"/>
      </w:r>
      <w:r w:rsidR="00472A60" w:rsidRPr="00C40532">
        <w:rPr>
          <w:color w:val="222222"/>
          <w:lang w:val="en-US"/>
        </w:rPr>
        <w:t>, alcoholic drinks stronger than 1.5 percent by volume, including</w:t>
      </w:r>
      <w:r w:rsidR="00472A60" w:rsidRPr="00C40532">
        <w:rPr>
          <w:rStyle w:val="apple-converted-space"/>
          <w:color w:val="222222"/>
          <w:lang w:val="en-US"/>
        </w:rPr>
        <w:t> </w:t>
      </w:r>
      <w:r>
        <w:fldChar w:fldCharType="begin"/>
      </w:r>
      <w:r w:rsidRPr="003E0431">
        <w:rPr>
          <w:lang w:val="en-US"/>
        </w:rPr>
        <w:instrText>HYPERLINK "https://en.wikipedia.org/wiki/Beer" \o "Beer"</w:instrText>
      </w:r>
      <w:r>
        <w:fldChar w:fldCharType="separate"/>
      </w:r>
      <w:r w:rsidR="00472A60" w:rsidRPr="00C40532">
        <w:rPr>
          <w:rStyle w:val="a5"/>
          <w:color w:val="0B0080"/>
          <w:lang w:val="en-US"/>
        </w:rPr>
        <w:t>beer</w:t>
      </w:r>
      <w:r>
        <w:fldChar w:fldCharType="end"/>
      </w:r>
      <w:r w:rsidR="00472A60" w:rsidRPr="00C40532">
        <w:rPr>
          <w:color w:val="222222"/>
          <w:lang w:val="en-US"/>
        </w:rPr>
        <w:t>;</w:t>
      </w:r>
      <w:r w:rsidR="00472A60" w:rsidRPr="00C40532">
        <w:rPr>
          <w:rStyle w:val="apple-converted-space"/>
          <w:color w:val="222222"/>
          <w:lang w:val="en-US"/>
        </w:rPr>
        <w:t> </w:t>
      </w:r>
      <w:r>
        <w:fldChar w:fldCharType="begin"/>
      </w:r>
      <w:r w:rsidRPr="003E0431">
        <w:rPr>
          <w:lang w:val="en-US"/>
        </w:rPr>
        <w:instrText>HYPERLINK "https://en.wikipedia.org/wiki/Gasoline" \o "Gasoline"</w:instrText>
      </w:r>
      <w:r>
        <w:fldChar w:fldCharType="separate"/>
      </w:r>
      <w:r w:rsidR="00472A60" w:rsidRPr="00C40532">
        <w:rPr>
          <w:rStyle w:val="a5"/>
          <w:color w:val="0B0080"/>
          <w:lang w:val="en-US"/>
        </w:rPr>
        <w:t>gasoline</w:t>
      </w:r>
      <w:r>
        <w:fldChar w:fldCharType="end"/>
      </w:r>
      <w:r w:rsidR="00472A60" w:rsidRPr="00C40532">
        <w:rPr>
          <w:rStyle w:val="apple-converted-space"/>
          <w:color w:val="222222"/>
          <w:lang w:val="en-US"/>
        </w:rPr>
        <w:t> </w:t>
      </w:r>
      <w:r w:rsidR="00472A60" w:rsidRPr="00C40532">
        <w:rPr>
          <w:color w:val="222222"/>
          <w:lang w:val="en-US"/>
        </w:rPr>
        <w:t>and</w:t>
      </w:r>
      <w:r w:rsidR="00472A60" w:rsidRPr="00C40532">
        <w:rPr>
          <w:rStyle w:val="apple-converted-space"/>
          <w:color w:val="222222"/>
          <w:lang w:val="en-US"/>
        </w:rPr>
        <w:t> </w:t>
      </w:r>
      <w:r>
        <w:fldChar w:fldCharType="begin"/>
      </w:r>
      <w:r w:rsidRPr="003E0431">
        <w:rPr>
          <w:lang w:val="en-US"/>
        </w:rPr>
        <w:instrText>HYPERLINK "https://en.wikipedia.org/wiki/Diesel_fuel" \o "Diesel fuel"</w:instrText>
      </w:r>
      <w:r>
        <w:fldChar w:fldCharType="separate"/>
      </w:r>
      <w:r w:rsidR="00472A60" w:rsidRPr="00C40532">
        <w:rPr>
          <w:rStyle w:val="a5"/>
          <w:color w:val="0B0080"/>
          <w:lang w:val="en-US"/>
        </w:rPr>
        <w:t>diesel fuel</w:t>
      </w:r>
      <w:r>
        <w:fldChar w:fldCharType="end"/>
      </w:r>
      <w:r w:rsidR="00472A60" w:rsidRPr="00C40532">
        <w:rPr>
          <w:color w:val="222222"/>
          <w:lang w:val="en-US"/>
        </w:rPr>
        <w:t>, motor oils; passenger cars and</w:t>
      </w:r>
      <w:r w:rsidR="00472A60" w:rsidRPr="00C40532">
        <w:rPr>
          <w:rStyle w:val="apple-converted-space"/>
          <w:color w:val="222222"/>
          <w:lang w:val="en-US"/>
        </w:rPr>
        <w:t> </w:t>
      </w:r>
      <w:r>
        <w:fldChar w:fldCharType="begin"/>
      </w:r>
      <w:r w:rsidRPr="003E0431">
        <w:rPr>
          <w:lang w:val="en-US"/>
        </w:rPr>
        <w:instrText>HYPERLINK "https://en.wikipedia.org/wiki/Motorcycles" \o "Motorcycles"</w:instrText>
      </w:r>
      <w:r>
        <w:fldChar w:fldCharType="separate"/>
      </w:r>
      <w:r w:rsidR="00472A60" w:rsidRPr="00C40532">
        <w:rPr>
          <w:rStyle w:val="a5"/>
          <w:color w:val="0B0080"/>
          <w:lang w:val="en-US"/>
        </w:rPr>
        <w:t>motorcycles</w:t>
      </w:r>
      <w:r>
        <w:fldChar w:fldCharType="end"/>
      </w:r>
      <w:r w:rsidR="00472A60" w:rsidRPr="00C40532">
        <w:rPr>
          <w:rStyle w:val="apple-converted-space"/>
          <w:color w:val="222222"/>
          <w:lang w:val="en-US"/>
        </w:rPr>
        <w:t> </w:t>
      </w:r>
      <w:r w:rsidR="00472A60" w:rsidRPr="00C40532">
        <w:rPr>
          <w:color w:val="222222"/>
          <w:lang w:val="en-US"/>
        </w:rPr>
        <w:t>with engines in excess of 150</w:t>
      </w:r>
      <w:r w:rsidR="00472A60" w:rsidRPr="00C40532">
        <w:rPr>
          <w:rStyle w:val="apple-converted-space"/>
          <w:color w:val="222222"/>
          <w:lang w:val="en-US"/>
        </w:rPr>
        <w:t> </w:t>
      </w:r>
      <w:r>
        <w:fldChar w:fldCharType="begin"/>
      </w:r>
      <w:r w:rsidRPr="003E0431">
        <w:rPr>
          <w:lang w:val="en-US"/>
        </w:rPr>
        <w:instrText>HYPERLINK "https://en.wikipedia.org/wiki/Horsepower" \o "Horsepower"</w:instrText>
      </w:r>
      <w:r>
        <w:fldChar w:fldCharType="separate"/>
      </w:r>
      <w:r w:rsidR="00472A60" w:rsidRPr="00C40532">
        <w:rPr>
          <w:rStyle w:val="a5"/>
          <w:color w:val="0B0080"/>
          <w:lang w:val="en-US"/>
        </w:rPr>
        <w:t>h.p.</w:t>
      </w:r>
      <w:r>
        <w:fldChar w:fldCharType="end"/>
      </w:r>
      <w:r w:rsidR="00472A60" w:rsidRPr="00C40532">
        <w:rPr>
          <w:color w:val="222222"/>
          <w:lang w:val="en-US"/>
        </w:rPr>
        <w:t>;</w:t>
      </w:r>
      <w:r w:rsidR="00472A60" w:rsidRPr="00C40532">
        <w:rPr>
          <w:rStyle w:val="apple-converted-space"/>
          <w:color w:val="222222"/>
          <w:lang w:val="en-US"/>
        </w:rPr>
        <w:t> </w:t>
      </w:r>
      <w:r>
        <w:fldChar w:fldCharType="begin"/>
      </w:r>
      <w:r w:rsidRPr="003E0431">
        <w:rPr>
          <w:lang w:val="en-US"/>
        </w:rPr>
        <w:instrText>HYPERLINK "https://en.wikipedia.org/wiki/Tobacco" \o "Tobacco"</w:instrText>
      </w:r>
      <w:r>
        <w:fldChar w:fldCharType="separate"/>
      </w:r>
      <w:r w:rsidR="00472A60" w:rsidRPr="00C40532">
        <w:rPr>
          <w:rStyle w:val="a5"/>
          <w:color w:val="0B0080"/>
          <w:lang w:val="en-US"/>
        </w:rPr>
        <w:t>tobacco</w:t>
      </w:r>
      <w:r>
        <w:fldChar w:fldCharType="end"/>
      </w:r>
      <w:r w:rsidR="00472A60" w:rsidRPr="00C40532">
        <w:rPr>
          <w:rStyle w:val="apple-converted-space"/>
          <w:color w:val="222222"/>
          <w:lang w:val="en-US"/>
        </w:rPr>
        <w:t> </w:t>
      </w:r>
      <w:r w:rsidR="00472A60" w:rsidRPr="00C40532">
        <w:rPr>
          <w:color w:val="222222"/>
          <w:lang w:val="en-US"/>
        </w:rPr>
        <w:t>products. The Code specifies strict licensing rules for oil</w:t>
      </w:r>
      <w:r w:rsidR="00472A60" w:rsidRPr="00C40532">
        <w:rPr>
          <w:rStyle w:val="apple-converted-space"/>
          <w:color w:val="222222"/>
          <w:lang w:val="en-US"/>
        </w:rPr>
        <w:t> </w:t>
      </w:r>
      <w:r>
        <w:fldChar w:fldCharType="begin"/>
      </w:r>
      <w:r w:rsidRPr="003E0431">
        <w:rPr>
          <w:lang w:val="en-US"/>
        </w:rPr>
        <w:instrText>HYPERLINK "https://en.wikipedia.org/wiki/Oil_Refinery" \o "Oil Refinery"</w:instrText>
      </w:r>
      <w:r>
        <w:fldChar w:fldCharType="separate"/>
      </w:r>
      <w:r w:rsidR="00472A60" w:rsidRPr="00C40532">
        <w:rPr>
          <w:rStyle w:val="a5"/>
          <w:color w:val="0B0080"/>
          <w:lang w:val="en-US"/>
        </w:rPr>
        <w:t>refineries</w:t>
      </w:r>
      <w:r>
        <w:fldChar w:fldCharType="end"/>
      </w:r>
      <w:r w:rsidR="00472A60" w:rsidRPr="00C40532">
        <w:rPr>
          <w:rStyle w:val="apple-converted-space"/>
          <w:color w:val="222222"/>
          <w:lang w:val="en-US"/>
        </w:rPr>
        <w:t> </w:t>
      </w:r>
      <w:r w:rsidR="00472A60" w:rsidRPr="00C40532">
        <w:rPr>
          <w:color w:val="222222"/>
          <w:lang w:val="en-US"/>
        </w:rPr>
        <w:t>and alcohol</w:t>
      </w:r>
      <w:r w:rsidR="00472A60" w:rsidRPr="00C40532">
        <w:rPr>
          <w:rStyle w:val="apple-converted-space"/>
          <w:color w:val="222222"/>
          <w:lang w:val="en-US"/>
        </w:rPr>
        <w:t> </w:t>
      </w:r>
      <w:r>
        <w:fldChar w:fldCharType="begin"/>
      </w:r>
      <w:r w:rsidRPr="003E0431">
        <w:rPr>
          <w:lang w:val="en-US"/>
        </w:rPr>
        <w:instrText>HYPERLINK "https://en.wikipedia.org/wiki/Distiller" \o "Distiller"</w:instrText>
      </w:r>
      <w:r>
        <w:fldChar w:fldCharType="separate"/>
      </w:r>
      <w:r w:rsidR="00472A60" w:rsidRPr="00C40532">
        <w:rPr>
          <w:rStyle w:val="a5"/>
          <w:color w:val="0B0080"/>
          <w:lang w:val="en-US"/>
        </w:rPr>
        <w:t>distillers</w:t>
      </w:r>
      <w:r>
        <w:fldChar w:fldCharType="end"/>
      </w:r>
      <w:r w:rsidR="00472A60" w:rsidRPr="00C40532">
        <w:rPr>
          <w:color w:val="222222"/>
          <w:lang w:val="en-US"/>
        </w:rPr>
        <w:t>. Rates increased until 2010; by 2010, excise taxes of a typical cigarette pack will reach 15–30 percent, which is less than its European counterpart</w:t>
      </w:r>
      <w:proofErr w:type="gramStart"/>
      <w:r w:rsidR="00472A60" w:rsidRPr="00C40532">
        <w:rPr>
          <w:color w:val="222222"/>
          <w:lang w:val="en-US"/>
        </w:rPr>
        <w:t>.</w:t>
      </w:r>
      <w:r w:rsidR="00472A60" w:rsidRPr="00C40532">
        <w:rPr>
          <w:color w:val="222222"/>
          <w:vertAlign w:val="superscript"/>
          <w:lang w:val="en-US"/>
        </w:rPr>
        <w:t>[</w:t>
      </w:r>
      <w:proofErr w:type="gramEnd"/>
      <w:r>
        <w:fldChar w:fldCharType="begin"/>
      </w:r>
      <w:r w:rsidR="00004B32" w:rsidRPr="008B4EEF">
        <w:rPr>
          <w:lang w:val="en-US"/>
        </w:rPr>
        <w:instrText>HYPERLINK "https://en.wikipedia.org/wiki/Wikipedia:No_original_research" \o "Wikipedia:No original research"</w:instrText>
      </w:r>
      <w:r>
        <w:fldChar w:fldCharType="separate"/>
      </w:r>
      <w:r w:rsidR="00472A60" w:rsidRPr="00C40532">
        <w:rPr>
          <w:rStyle w:val="a5"/>
          <w:i/>
          <w:iCs/>
          <w:color w:val="0B0080"/>
          <w:vertAlign w:val="superscript"/>
          <w:lang w:val="en-US"/>
        </w:rPr>
        <w:t>original research?</w:t>
      </w:r>
      <w:r>
        <w:fldChar w:fldCharType="end"/>
      </w:r>
      <w:r w:rsidR="00472A60" w:rsidRPr="00C40532">
        <w:rPr>
          <w:color w:val="222222"/>
          <w:vertAlign w:val="superscript"/>
          <w:lang w:val="en-US"/>
        </w:rPr>
        <w:t>]</w:t>
      </w:r>
      <w:hyperlink r:id="rId105" w:anchor="cite_note-35" w:history="1">
        <w:r w:rsidR="00472A60" w:rsidRPr="00C40532">
          <w:rPr>
            <w:rStyle w:val="a5"/>
            <w:color w:val="0B0080"/>
            <w:vertAlign w:val="superscript"/>
            <w:lang w:val="en-US"/>
          </w:rPr>
          <w:t>[35]</w:t>
        </w:r>
      </w:hyperlink>
      <w:r w:rsidR="00472A60" w:rsidRPr="00C40532">
        <w:rPr>
          <w:rStyle w:val="apple-converted-space"/>
          <w:color w:val="222222"/>
          <w:lang w:val="en-US"/>
        </w:rPr>
        <w:t> </w:t>
      </w:r>
      <w:r w:rsidR="00472A60" w:rsidRPr="00C40532">
        <w:rPr>
          <w:color w:val="222222"/>
          <w:lang w:val="en-US"/>
        </w:rPr>
        <w:t>Since 2007, cigarettes have been taxed based on a percentage of manufacturers'</w:t>
      </w:r>
      <w:r w:rsidR="00472A60" w:rsidRPr="00C40532">
        <w:rPr>
          <w:rStyle w:val="apple-converted-space"/>
          <w:color w:val="222222"/>
          <w:lang w:val="en-US"/>
        </w:rPr>
        <w:t> </w:t>
      </w:r>
      <w:hyperlink r:id="rId106" w:tooltip="Suggested retail price" w:history="1">
        <w:r w:rsidR="00472A60" w:rsidRPr="00C40532">
          <w:rPr>
            <w:rStyle w:val="a5"/>
            <w:color w:val="0B0080"/>
            <w:lang w:val="en-US"/>
          </w:rPr>
          <w:t>suggested retail price</w:t>
        </w:r>
      </w:hyperlink>
      <w:r w:rsidR="00472A60" w:rsidRPr="00C40532">
        <w:rPr>
          <w:rStyle w:val="apple-converted-space"/>
          <w:color w:val="222222"/>
          <w:lang w:val="en-US"/>
        </w:rPr>
        <w:t> </w:t>
      </w:r>
      <w:r w:rsidR="00472A60" w:rsidRPr="00C40532">
        <w:rPr>
          <w:color w:val="222222"/>
          <w:lang w:val="en-US"/>
        </w:rPr>
        <w:t>(MSRP).</w:t>
      </w:r>
      <w:hyperlink r:id="rId107" w:anchor="cite_note-36" w:history="1">
        <w:r w:rsidR="00472A60" w:rsidRPr="00C40532">
          <w:rPr>
            <w:rStyle w:val="a5"/>
            <w:color w:val="0B0080"/>
            <w:vertAlign w:val="superscript"/>
            <w:lang w:val="en-US"/>
          </w:rPr>
          <w:t>[36]</w:t>
        </w:r>
      </w:hyperlink>
      <w:r w:rsidR="00472A60" w:rsidRPr="00C40532">
        <w:rPr>
          <w:rStyle w:val="apple-converted-space"/>
          <w:color w:val="222222"/>
          <w:lang w:val="en-US"/>
        </w:rPr>
        <w:t> </w:t>
      </w:r>
      <w:r w:rsidR="00472A60" w:rsidRPr="00C40532">
        <w:rPr>
          <w:color w:val="222222"/>
          <w:lang w:val="en-US"/>
        </w:rPr>
        <w:t>This approach made MSRP mandatory and quickly led to government-induced retail</w:t>
      </w:r>
      <w:r w:rsidR="00472A60" w:rsidRPr="00C40532">
        <w:rPr>
          <w:rStyle w:val="apple-converted-space"/>
          <w:color w:val="222222"/>
          <w:lang w:val="en-US"/>
        </w:rPr>
        <w:t> </w:t>
      </w:r>
      <w:r>
        <w:fldChar w:fldCharType="begin"/>
      </w:r>
      <w:r w:rsidRPr="003E0431">
        <w:rPr>
          <w:lang w:val="en-US"/>
        </w:rPr>
        <w:instrText>HYPERLINK "https://en.wikipedia.org/wiki/Price_fixing" \o "Price fixing"</w:instrText>
      </w:r>
      <w:r>
        <w:fldChar w:fldCharType="separate"/>
      </w:r>
      <w:r w:rsidR="00472A60" w:rsidRPr="00C40532">
        <w:rPr>
          <w:rStyle w:val="a5"/>
          <w:color w:val="0B0080"/>
          <w:lang w:val="en-US"/>
        </w:rPr>
        <w:t>price fixing</w:t>
      </w:r>
      <w:r>
        <w:fldChar w:fldCharType="end"/>
      </w:r>
      <w:r w:rsidR="00472A60" w:rsidRPr="00C40532">
        <w:rPr>
          <w:color w:val="222222"/>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b/>
          <w:bCs/>
          <w:color w:val="222222"/>
          <w:lang w:val="en-US"/>
        </w:rPr>
        <w:t>Unified social tax</w:t>
      </w:r>
      <w:r w:rsidRPr="00C40532">
        <w:rPr>
          <w:rStyle w:val="apple-converted-space"/>
          <w:color w:val="222222"/>
          <w:lang w:val="en-US"/>
        </w:rPr>
        <w:t> </w:t>
      </w:r>
      <w:r w:rsidRPr="00C40532">
        <w:rPr>
          <w:color w:val="222222"/>
          <w:lang w:val="en-US"/>
        </w:rPr>
        <w:t>is accrued on all employer-to-employee payments which are deductible for profit tax purposes; non-deductible payments like</w:t>
      </w:r>
      <w:r w:rsidRPr="00C40532">
        <w:rPr>
          <w:rStyle w:val="apple-converted-space"/>
          <w:color w:val="222222"/>
          <w:lang w:val="en-US"/>
        </w:rPr>
        <w:t> </w:t>
      </w:r>
      <w:r w:rsidR="00AA3725">
        <w:fldChar w:fldCharType="begin"/>
      </w:r>
      <w:r w:rsidR="00AA3725" w:rsidRPr="003E0431">
        <w:rPr>
          <w:lang w:val="en-US"/>
        </w:rPr>
        <w:instrText>HYPERLINK "https://en.wikipedia.org/wiki/Dividends" \o "Dividends"</w:instrText>
      </w:r>
      <w:r w:rsidR="00AA3725">
        <w:fldChar w:fldCharType="separate"/>
      </w:r>
      <w:r w:rsidRPr="00C40532">
        <w:rPr>
          <w:rStyle w:val="a5"/>
          <w:color w:val="0B0080"/>
          <w:lang w:val="en-US"/>
        </w:rPr>
        <w:t>dividends</w:t>
      </w:r>
      <w:r w:rsidR="00AA3725">
        <w:fldChar w:fldCharType="end"/>
      </w:r>
      <w:r w:rsidRPr="00C40532">
        <w:rPr>
          <w:rStyle w:val="apple-converted-space"/>
          <w:color w:val="222222"/>
          <w:lang w:val="en-US"/>
        </w:rPr>
        <w:t> </w:t>
      </w:r>
      <w:r w:rsidRPr="00C40532">
        <w:rPr>
          <w:color w:val="222222"/>
          <w:lang w:val="en-US"/>
        </w:rPr>
        <w:t>or</w:t>
      </w:r>
      <w:r w:rsidRPr="00C40532">
        <w:rPr>
          <w:rStyle w:val="apple-converted-space"/>
          <w:color w:val="222222"/>
          <w:lang w:val="en-US"/>
        </w:rPr>
        <w:t> </w:t>
      </w:r>
      <w:r w:rsidR="00AA3725">
        <w:fldChar w:fldCharType="begin"/>
      </w:r>
      <w:r w:rsidR="00AA3725" w:rsidRPr="003E0431">
        <w:rPr>
          <w:lang w:val="en-US"/>
        </w:rPr>
        <w:instrText>HYPERLINK "https://en.wikipedia.org/wiki/Charity_(practice)" \o "Charity (practice)"</w:instrText>
      </w:r>
      <w:r w:rsidR="00AA3725">
        <w:fldChar w:fldCharType="separate"/>
      </w:r>
      <w:r w:rsidRPr="00C40532">
        <w:rPr>
          <w:rStyle w:val="a5"/>
          <w:color w:val="0B0080"/>
          <w:lang w:val="en-US"/>
        </w:rPr>
        <w:t>charity</w:t>
      </w:r>
      <w:r w:rsidR="00AA3725">
        <w:fldChar w:fldCharType="end"/>
      </w:r>
      <w:r w:rsidRPr="00C40532">
        <w:rPr>
          <w:rStyle w:val="apple-converted-space"/>
          <w:color w:val="222222"/>
          <w:lang w:val="en-US"/>
        </w:rPr>
        <w:t> </w:t>
      </w:r>
      <w:r w:rsidRPr="00C40532">
        <w:rPr>
          <w:color w:val="222222"/>
          <w:lang w:val="en-US"/>
        </w:rPr>
        <w:t>are not subject to UST.</w:t>
      </w:r>
      <w:r w:rsidR="00AA3725">
        <w:fldChar w:fldCharType="begin"/>
      </w:r>
      <w:r w:rsidR="00AA3725" w:rsidRPr="003E0431">
        <w:rPr>
          <w:lang w:val="en-US"/>
        </w:rPr>
        <w:instrText>HYPERLINK "https://en.wikipedia.org/wiki/Taxation_in_Russia" \l "cite_note-37"</w:instrText>
      </w:r>
      <w:r w:rsidR="00AA3725">
        <w:fldChar w:fldCharType="separate"/>
      </w:r>
      <w:r w:rsidRPr="00C40532">
        <w:rPr>
          <w:rStyle w:val="a5"/>
          <w:color w:val="0B0080"/>
          <w:vertAlign w:val="superscript"/>
          <w:lang w:val="en-US"/>
        </w:rPr>
        <w:t>[37]</w:t>
      </w:r>
      <w:r w:rsidR="00AA3725">
        <w:fldChar w:fldCharType="end"/>
      </w:r>
      <w:r w:rsidRPr="00C40532">
        <w:rPr>
          <w:rStyle w:val="apple-converted-space"/>
          <w:color w:val="222222"/>
          <w:lang w:val="en-US"/>
        </w:rPr>
        <w:t> </w:t>
      </w:r>
      <w:r w:rsidRPr="00C40532">
        <w:rPr>
          <w:color w:val="222222"/>
          <w:lang w:val="en-US"/>
        </w:rPr>
        <w:t>Pensions,</w:t>
      </w:r>
      <w:r w:rsidRPr="00C40532">
        <w:rPr>
          <w:rStyle w:val="apple-converted-space"/>
          <w:color w:val="222222"/>
          <w:lang w:val="en-US"/>
        </w:rPr>
        <w:t> </w:t>
      </w:r>
      <w:r w:rsidR="00AA3725">
        <w:fldChar w:fldCharType="begin"/>
      </w:r>
      <w:r w:rsidR="00AA3725" w:rsidRPr="003E0431">
        <w:rPr>
          <w:lang w:val="en-US"/>
        </w:rPr>
        <w:instrText>HYPERLINK "https://en.wikipedia.org/wiki/Severance_pay" \o "Severance pay"</w:instrText>
      </w:r>
      <w:r w:rsidR="00AA3725">
        <w:fldChar w:fldCharType="separate"/>
      </w:r>
      <w:r w:rsidRPr="00C40532">
        <w:rPr>
          <w:rStyle w:val="a5"/>
          <w:color w:val="0B0080"/>
          <w:lang w:val="en-US"/>
        </w:rPr>
        <w:t>severance pay</w:t>
      </w:r>
      <w:r w:rsidR="00AA3725">
        <w:fldChar w:fldCharType="end"/>
      </w:r>
      <w:r w:rsidRPr="00C40532">
        <w:rPr>
          <w:color w:val="222222"/>
          <w:lang w:val="en-US"/>
        </w:rPr>
        <w:t>, and travel expenses are not taxable. The schedule is regressive: annual income up to 280,000 roubles is taxed at 26 percent; marginal rate for income above 600,000 roubles is 2 percent. Rates in agriculture and in special high</w:t>
      </w:r>
      <w:r w:rsidRPr="00C40532">
        <w:rPr>
          <w:rStyle w:val="apple-converted-space"/>
          <w:color w:val="222222"/>
          <w:lang w:val="en-US"/>
        </w:rPr>
        <w:t> </w:t>
      </w:r>
      <w:r w:rsidR="00AA3725">
        <w:fldChar w:fldCharType="begin"/>
      </w:r>
      <w:r w:rsidR="00AA3725" w:rsidRPr="003E0431">
        <w:rPr>
          <w:lang w:val="en-US"/>
        </w:rPr>
        <w:instrText>HYPERLINK "https://en.wikipedia.org/wiki/Technology_park" \o "Technology park"</w:instrText>
      </w:r>
      <w:r w:rsidR="00AA3725">
        <w:fldChar w:fldCharType="separate"/>
      </w:r>
      <w:r w:rsidRPr="00C40532">
        <w:rPr>
          <w:rStyle w:val="a5"/>
          <w:color w:val="0B0080"/>
          <w:lang w:val="en-US"/>
        </w:rPr>
        <w:t>technology parks</w:t>
      </w:r>
      <w:r w:rsidR="00AA3725">
        <w:fldChar w:fldCharType="end"/>
      </w:r>
      <w:r w:rsidRPr="00C40532">
        <w:rPr>
          <w:rStyle w:val="apple-converted-space"/>
          <w:color w:val="222222"/>
          <w:lang w:val="en-US"/>
        </w:rPr>
        <w:t> </w:t>
      </w:r>
      <w:r w:rsidRPr="00C40532">
        <w:rPr>
          <w:color w:val="222222"/>
          <w:lang w:val="en-US"/>
        </w:rPr>
        <w:t>are lower. Note that a significant part of mandatory contributions to Pension Fund is not included in UST.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 xml:space="preserve">Pension Fund </w:t>
      </w:r>
      <w:proofErr w:type="gramStart"/>
      <w:r w:rsidRPr="00C40532">
        <w:rPr>
          <w:color w:val="222222"/>
          <w:lang w:val="en-US"/>
        </w:rPr>
        <w:t>deficits</w:t>
      </w:r>
      <w:proofErr w:type="gramEnd"/>
      <w:r w:rsidR="00AA3725">
        <w:fldChar w:fldCharType="begin"/>
      </w:r>
      <w:r w:rsidR="00004B32" w:rsidRPr="008B4EEF">
        <w:rPr>
          <w:lang w:val="en-US"/>
        </w:rPr>
        <w:instrText>HYPERLINK "https://en.wikipedia.org/wiki/Taxation_in_Russia" \l "cite_note-38"</w:instrText>
      </w:r>
      <w:r w:rsidR="00AA3725">
        <w:fldChar w:fldCharType="separate"/>
      </w:r>
      <w:r w:rsidRPr="00C40532">
        <w:rPr>
          <w:rStyle w:val="a5"/>
          <w:color w:val="0B0080"/>
          <w:vertAlign w:val="superscript"/>
          <w:lang w:val="en-US"/>
        </w:rPr>
        <w:t>[38]</w:t>
      </w:r>
      <w:r w:rsidR="00AA3725">
        <w:fldChar w:fldCharType="end"/>
      </w:r>
      <w:r w:rsidRPr="00C40532">
        <w:rPr>
          <w:rStyle w:val="apple-converted-space"/>
          <w:color w:val="222222"/>
          <w:lang w:val="en-US"/>
        </w:rPr>
        <w:t> </w:t>
      </w:r>
      <w:r w:rsidRPr="00C40532">
        <w:rPr>
          <w:color w:val="222222"/>
          <w:lang w:val="en-US"/>
        </w:rPr>
        <w:t>have caused calls to increase UST rates or switch from regressive to flat rates. A proposal for a flat UST was initiated in July 2008 by</w:t>
      </w:r>
      <w:r w:rsidRPr="00C40532">
        <w:rPr>
          <w:rStyle w:val="apple-converted-space"/>
          <w:color w:val="222222"/>
          <w:lang w:val="en-US"/>
        </w:rPr>
        <w:t> </w:t>
      </w:r>
      <w:r w:rsidR="00AA3725">
        <w:fldChar w:fldCharType="begin"/>
      </w:r>
      <w:r w:rsidR="00AA3725" w:rsidRPr="003E0431">
        <w:rPr>
          <w:lang w:val="en-US"/>
        </w:rPr>
        <w:instrText>HYPERLINK "https://en.wikipedia.org/wiki/INSOR" \o "INSOR"</w:instrText>
      </w:r>
      <w:r w:rsidR="00AA3725">
        <w:fldChar w:fldCharType="separate"/>
      </w:r>
      <w:r w:rsidRPr="00C40532">
        <w:rPr>
          <w:rStyle w:val="a5"/>
          <w:color w:val="0B0080"/>
          <w:lang w:val="en-US"/>
        </w:rPr>
        <w:t>INSOR</w:t>
      </w:r>
      <w:r w:rsidR="00AA3725">
        <w:fldChar w:fldCharType="end"/>
      </w:r>
      <w:r w:rsidRPr="00C40532">
        <w:rPr>
          <w:color w:val="222222"/>
          <w:lang w:val="en-US"/>
        </w:rPr>
        <w:t>,</w:t>
      </w:r>
      <w:r w:rsidRPr="00C40532">
        <w:rPr>
          <w:rStyle w:val="apple-converted-space"/>
          <w:color w:val="222222"/>
          <w:lang w:val="en-US"/>
        </w:rPr>
        <w:t> </w:t>
      </w:r>
      <w:r w:rsidR="00AA3725">
        <w:fldChar w:fldCharType="begin"/>
      </w:r>
      <w:r w:rsidR="00AA3725" w:rsidRPr="003E0431">
        <w:rPr>
          <w:lang w:val="en-US"/>
        </w:rPr>
        <w:instrText>HYPERLINK "https://en.wikipedia.org/wiki/Dmitry_Medvedev" \o "Dmitry Medvedev"</w:instrText>
      </w:r>
      <w:r w:rsidR="00AA3725">
        <w:fldChar w:fldCharType="separate"/>
      </w:r>
      <w:r w:rsidRPr="00C40532">
        <w:rPr>
          <w:rStyle w:val="a5"/>
          <w:color w:val="0B0080"/>
          <w:lang w:val="en-US"/>
        </w:rPr>
        <w:t>Dmitry Medvedev</w:t>
      </w:r>
      <w:r w:rsidR="00AA3725">
        <w:fldChar w:fldCharType="end"/>
      </w:r>
      <w:r w:rsidRPr="00C40532">
        <w:rPr>
          <w:color w:val="222222"/>
          <w:lang w:val="en-US"/>
        </w:rPr>
        <w:t>'s</w:t>
      </w:r>
      <w:r w:rsidRPr="00C40532">
        <w:rPr>
          <w:rStyle w:val="apple-converted-space"/>
          <w:color w:val="222222"/>
          <w:lang w:val="en-US"/>
        </w:rPr>
        <w:t> </w:t>
      </w:r>
      <w:r w:rsidR="00AA3725">
        <w:fldChar w:fldCharType="begin"/>
      </w:r>
      <w:r w:rsidR="00AA3725" w:rsidRPr="003E0431">
        <w:rPr>
          <w:lang w:val="en-US"/>
        </w:rPr>
        <w:instrText>HYPERLINK "https://en.wikipedia.org/wiki/Think_tank" \o "Think tank"</w:instrText>
      </w:r>
      <w:r w:rsidR="00AA3725">
        <w:fldChar w:fldCharType="separate"/>
      </w:r>
      <w:r w:rsidRPr="00C40532">
        <w:rPr>
          <w:rStyle w:val="a5"/>
          <w:color w:val="0B0080"/>
          <w:lang w:val="en-US"/>
        </w:rPr>
        <w:t>think tank</w:t>
      </w:r>
      <w:r w:rsidR="00AA3725">
        <w:fldChar w:fldCharType="end"/>
      </w:r>
      <w:r w:rsidR="00AA3725">
        <w:fldChar w:fldCharType="begin"/>
      </w:r>
      <w:r w:rsidR="00AA3725" w:rsidRPr="003E0431">
        <w:rPr>
          <w:lang w:val="en-US"/>
        </w:rPr>
        <w:instrText>HYPERLINK "https://en.wikipedia.org/wiki/Taxation_in_Russia" \l "cite_note-39"</w:instrText>
      </w:r>
      <w:r w:rsidR="00AA3725">
        <w:fldChar w:fldCharType="separate"/>
      </w:r>
      <w:r w:rsidRPr="00C40532">
        <w:rPr>
          <w:rStyle w:val="a5"/>
          <w:color w:val="0B0080"/>
          <w:vertAlign w:val="superscript"/>
          <w:lang w:val="en-US"/>
        </w:rPr>
        <w:t>[39]</w:t>
      </w:r>
      <w:r w:rsidR="00AA3725">
        <w:fldChar w:fldCharType="end"/>
      </w:r>
      <w:r w:rsidR="00AA3725">
        <w:fldChar w:fldCharType="begin"/>
      </w:r>
      <w:r w:rsidR="00AA3725" w:rsidRPr="003E0431">
        <w:rPr>
          <w:lang w:val="en-US"/>
        </w:rPr>
        <w:instrText>HYPERLINK "https://en.wikipedia.org/wiki/Taxation_in_Russia" \l "cite_note-40"</w:instrText>
      </w:r>
      <w:r w:rsidR="00AA3725">
        <w:fldChar w:fldCharType="separate"/>
      </w:r>
      <w:r w:rsidRPr="00C40532">
        <w:rPr>
          <w:rStyle w:val="a5"/>
          <w:color w:val="0B0080"/>
          <w:vertAlign w:val="superscript"/>
          <w:lang w:val="en-US"/>
        </w:rPr>
        <w:t>[40]</w:t>
      </w:r>
      <w:r w:rsidR="00AA3725">
        <w:fldChar w:fldCharType="end"/>
      </w:r>
      <w:r w:rsidRPr="00C40532">
        <w:rPr>
          <w:rStyle w:val="apple-converted-space"/>
          <w:color w:val="222222"/>
          <w:lang w:val="en-US"/>
        </w:rPr>
        <w:t> </w:t>
      </w:r>
      <w:r w:rsidRPr="00C40532">
        <w:rPr>
          <w:color w:val="222222"/>
          <w:lang w:val="en-US"/>
        </w:rPr>
        <w:t>and further detailed in Putin's proposals made October 1, 2008.</w:t>
      </w:r>
      <w:r w:rsidR="00AA3725">
        <w:fldChar w:fldCharType="begin"/>
      </w:r>
      <w:r w:rsidR="00AA3725" w:rsidRPr="003E0431">
        <w:rPr>
          <w:lang w:val="en-US"/>
        </w:rPr>
        <w:instrText>HYPERLINK "https://en.wikipedia.org/wiki/Taxation_in_Russia" \l "cite_note-PU-28"</w:instrText>
      </w:r>
      <w:r w:rsidR="00AA3725">
        <w:fldChar w:fldCharType="separate"/>
      </w:r>
      <w:r w:rsidRPr="00C40532">
        <w:rPr>
          <w:rStyle w:val="a5"/>
          <w:color w:val="0B0080"/>
          <w:vertAlign w:val="superscript"/>
          <w:lang w:val="en-US"/>
        </w:rPr>
        <w:t>[28]</w:t>
      </w:r>
      <w:r w:rsidR="00AA3725">
        <w:fldChar w:fldCharType="end"/>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Workplace accident insurance, enacted later, is not part of UST or the Tax Code. Each employer must contribute to group accident insurance. The rate varies between 0.2 percent and 8.5 percent, depending on the type of business. The rate for trading companies is 0.2 percent and for transportation companies 0.7 percent.</w:t>
      </w:r>
      <w:r w:rsidR="00AA3725">
        <w:fldChar w:fldCharType="begin"/>
      </w:r>
      <w:r w:rsidR="00AA3725" w:rsidRPr="003E0431">
        <w:rPr>
          <w:lang w:val="en-US"/>
        </w:rPr>
        <w:instrText>HYPERLINK "https://en.wikipedia.org/wiki/Taxation_in_Russia" \l "cite_note-41"</w:instrText>
      </w:r>
      <w:r w:rsidR="00AA3725">
        <w:fldChar w:fldCharType="separate"/>
      </w:r>
      <w:r w:rsidRPr="00C40532">
        <w:rPr>
          <w:rStyle w:val="a5"/>
          <w:color w:val="0B0080"/>
          <w:vertAlign w:val="superscript"/>
          <w:lang w:val="en-US"/>
        </w:rPr>
        <w:t>[41]</w:t>
      </w:r>
      <w:r w:rsidR="00AA3725">
        <w:fldChar w:fldCharType="end"/>
      </w:r>
    </w:p>
    <w:p w:rsidR="00472A60" w:rsidRPr="00C40532" w:rsidRDefault="00AA3725" w:rsidP="00472A60">
      <w:pPr>
        <w:pStyle w:val="a6"/>
        <w:shd w:val="clear" w:color="auto" w:fill="FFFFFF"/>
        <w:spacing w:before="0" w:beforeAutospacing="0" w:after="0" w:afterAutospacing="0"/>
        <w:jc w:val="both"/>
        <w:rPr>
          <w:color w:val="222222"/>
          <w:lang w:val="en-US"/>
        </w:rPr>
      </w:pPr>
      <w:r>
        <w:fldChar w:fldCharType="begin"/>
      </w:r>
      <w:r w:rsidRPr="003E0431">
        <w:rPr>
          <w:lang w:val="en-US"/>
        </w:rPr>
        <w:instrText>HYPERLINK "https://en.wikipedia.org/wiki/Income_Tax" \o "Income Tax"</w:instrText>
      </w:r>
      <w:r>
        <w:fldChar w:fldCharType="separate"/>
      </w:r>
      <w:r w:rsidR="00472A60" w:rsidRPr="00C40532">
        <w:rPr>
          <w:rStyle w:val="a5"/>
          <w:b/>
          <w:bCs/>
          <w:color w:val="0B0080"/>
          <w:lang w:val="en-US"/>
        </w:rPr>
        <w:t>Personal income tax</w:t>
      </w:r>
      <w:r>
        <w:fldChar w:fldCharType="end"/>
      </w:r>
      <w:r w:rsidR="00472A60" w:rsidRPr="00C40532">
        <w:rPr>
          <w:rStyle w:val="apple-converted-space"/>
          <w:color w:val="222222"/>
          <w:lang w:val="en-US"/>
        </w:rPr>
        <w:t> </w:t>
      </w:r>
      <w:r w:rsidR="00472A60" w:rsidRPr="00C40532">
        <w:rPr>
          <w:color w:val="222222"/>
          <w:lang w:val="en-US"/>
        </w:rPr>
        <w:t>is levied individually normally at 13 percent. There is no</w:t>
      </w:r>
      <w:r w:rsidR="00472A60" w:rsidRPr="00C40532">
        <w:rPr>
          <w:rStyle w:val="apple-converted-space"/>
          <w:color w:val="222222"/>
          <w:lang w:val="en-US"/>
        </w:rPr>
        <w:t> </w:t>
      </w:r>
      <w:r>
        <w:fldChar w:fldCharType="begin"/>
      </w:r>
      <w:r w:rsidRPr="003E0431">
        <w:rPr>
          <w:lang w:val="en-US"/>
        </w:rPr>
        <w:instrText>HYPERLINK "https://en.wikipedia.org/wiki/Filing_Status_(federal_income_tax)" \o "Filing Status (federal income tax)"</w:instrText>
      </w:r>
      <w:r>
        <w:fldChar w:fldCharType="separate"/>
      </w:r>
      <w:r w:rsidR="00472A60" w:rsidRPr="00C40532">
        <w:rPr>
          <w:rStyle w:val="a5"/>
          <w:color w:val="0B0080"/>
          <w:lang w:val="en-US"/>
        </w:rPr>
        <w:t>joint filing</w:t>
      </w:r>
      <w:r>
        <w:fldChar w:fldCharType="end"/>
      </w:r>
      <w:r w:rsidR="00472A60" w:rsidRPr="00C40532">
        <w:rPr>
          <w:color w:val="222222"/>
          <w:lang w:val="en-US"/>
        </w:rPr>
        <w:t>. Employers withhold income taxes, thus the taxpayers whose only taxable income was paid by employer do not need to file a tax return—except to claim a refund for</w:t>
      </w:r>
      <w:r w:rsidR="00472A60" w:rsidRPr="00C40532">
        <w:rPr>
          <w:rStyle w:val="apple-converted-space"/>
          <w:color w:val="222222"/>
          <w:lang w:val="en-US"/>
        </w:rPr>
        <w:t> </w:t>
      </w:r>
      <w:r>
        <w:fldChar w:fldCharType="begin"/>
      </w:r>
      <w:r w:rsidRPr="003E0431">
        <w:rPr>
          <w:lang w:val="en-US"/>
        </w:rPr>
        <w:instrText>HYPERLINK "https://en.wikipedia.org/wiki/Itemized_deductions" \o "Itemized deductions"</w:instrText>
      </w:r>
      <w:r>
        <w:fldChar w:fldCharType="separate"/>
      </w:r>
      <w:r w:rsidR="00472A60" w:rsidRPr="00C40532">
        <w:rPr>
          <w:rStyle w:val="a5"/>
          <w:color w:val="0B0080"/>
          <w:lang w:val="en-US"/>
        </w:rPr>
        <w:t>itemized deductions</w:t>
      </w:r>
      <w:r>
        <w:fldChar w:fldCharType="end"/>
      </w:r>
      <w:r w:rsidR="00472A60" w:rsidRPr="00C40532">
        <w:rPr>
          <w:color w:val="222222"/>
          <w:lang w:val="en-US"/>
        </w:rPr>
        <w:t>. The most important deductions are for home purchase (once a life), and education and medical expenses. Deductions require documentation and are subject to limitations. Tax returns are mandatory for registered entrepreneurs and professionals (lawyers,</w:t>
      </w:r>
      <w:r w:rsidR="00472A60" w:rsidRPr="00C40532">
        <w:rPr>
          <w:rStyle w:val="apple-converted-space"/>
          <w:color w:val="222222"/>
          <w:lang w:val="en-US"/>
        </w:rPr>
        <w:t> </w:t>
      </w:r>
      <w:r>
        <w:fldChar w:fldCharType="begin"/>
      </w:r>
      <w:r w:rsidRPr="003E0431">
        <w:rPr>
          <w:lang w:val="en-US"/>
        </w:rPr>
        <w:instrText>HYPERLINK "https://en.wikipedia.org/wiki/Notary" \o "Notary"</w:instrText>
      </w:r>
      <w:r>
        <w:fldChar w:fldCharType="separate"/>
      </w:r>
      <w:r w:rsidR="00472A60" w:rsidRPr="00C40532">
        <w:rPr>
          <w:rStyle w:val="a5"/>
          <w:color w:val="0B0080"/>
          <w:lang w:val="en-US"/>
        </w:rPr>
        <w:t>notaries</w:t>
      </w:r>
      <w:r>
        <w:fldChar w:fldCharType="end"/>
      </w:r>
      <w:r w:rsidR="00472A60" w:rsidRPr="00C40532">
        <w:rPr>
          <w:color w:val="222222"/>
          <w:lang w:val="en-US"/>
        </w:rPr>
        <w:t>, etc.), sellers of personal assets and recipients of other income. Out of 10.4 million registered residents of Moscow, only 94 thousand filed tax 2006 returns and 105 thousand filed for 2007.</w:t>
      </w:r>
      <w:r>
        <w:fldChar w:fldCharType="begin"/>
      </w:r>
      <w:r w:rsidRPr="003E0431">
        <w:rPr>
          <w:lang w:val="en-US"/>
        </w:rPr>
        <w:instrText>HYPERLINK "https://en.wikipedia.org/wiki/Taxation_in_Russia" \l "cite_note-42"</w:instrText>
      </w:r>
      <w:r>
        <w:fldChar w:fldCharType="separate"/>
      </w:r>
      <w:r w:rsidR="00472A60" w:rsidRPr="00C40532">
        <w:rPr>
          <w:rStyle w:val="a5"/>
          <w:color w:val="0B0080"/>
          <w:vertAlign w:val="superscript"/>
          <w:lang w:val="en-US"/>
        </w:rPr>
        <w:t>[42]</w:t>
      </w:r>
      <w:r>
        <w:fldChar w:fldCharType="end"/>
      </w:r>
      <w:r w:rsidR="00472A60" w:rsidRPr="00C40532">
        <w:rPr>
          <w:rStyle w:val="apple-converted-space"/>
          <w:color w:val="222222"/>
          <w:lang w:val="en-US"/>
        </w:rPr>
        <w:t> </w:t>
      </w:r>
      <w:r w:rsidR="00472A60" w:rsidRPr="00C40532">
        <w:rPr>
          <w:color w:val="222222"/>
          <w:lang w:val="en-US"/>
        </w:rPr>
        <w:t>State pensions and</w:t>
      </w:r>
      <w:r w:rsidR="00472A60" w:rsidRPr="00C40532">
        <w:rPr>
          <w:rStyle w:val="apple-converted-space"/>
          <w:color w:val="222222"/>
          <w:lang w:val="en-US"/>
        </w:rPr>
        <w:t> </w:t>
      </w:r>
      <w:r>
        <w:fldChar w:fldCharType="begin"/>
      </w:r>
      <w:r w:rsidRPr="003E0431">
        <w:rPr>
          <w:lang w:val="en-US"/>
        </w:rPr>
        <w:instrText>HYPERLINK "https://en.wikipedia.org/wiki/Alimony" \o "Alimony"</w:instrText>
      </w:r>
      <w:r>
        <w:fldChar w:fldCharType="separate"/>
      </w:r>
      <w:r w:rsidR="00472A60" w:rsidRPr="00C40532">
        <w:rPr>
          <w:rStyle w:val="a5"/>
          <w:color w:val="0B0080"/>
          <w:lang w:val="en-US"/>
        </w:rPr>
        <w:t>alimony</w:t>
      </w:r>
      <w:r>
        <w:fldChar w:fldCharType="end"/>
      </w:r>
      <w:r w:rsidR="00472A60" w:rsidRPr="00C40532">
        <w:rPr>
          <w:rStyle w:val="apple-converted-space"/>
          <w:color w:val="222222"/>
          <w:lang w:val="en-US"/>
        </w:rPr>
        <w:t> </w:t>
      </w:r>
      <w:r w:rsidR="00472A60" w:rsidRPr="00C40532">
        <w:rPr>
          <w:color w:val="222222"/>
          <w:lang w:val="en-US"/>
        </w:rPr>
        <w:t>are normally not taxable, as well as bank interest (unless it exceeds the</w:t>
      </w:r>
      <w:r w:rsidR="00472A60" w:rsidRPr="00C40532">
        <w:rPr>
          <w:rStyle w:val="apple-converted-space"/>
          <w:color w:val="222222"/>
          <w:lang w:val="en-US"/>
        </w:rPr>
        <w:t> </w:t>
      </w:r>
      <w:r>
        <w:fldChar w:fldCharType="begin"/>
      </w:r>
      <w:r w:rsidRPr="003E0431">
        <w:rPr>
          <w:lang w:val="en-US"/>
        </w:rPr>
        <w:instrText>HYPERLINK "https://en.wikipedia.org/w/index.php?title=Refinancing_rate&amp;action=edit&amp;redlink=1" \o "Refinancing rate (page does not exist)"</w:instrText>
      </w:r>
      <w:r>
        <w:fldChar w:fldCharType="separate"/>
      </w:r>
      <w:r w:rsidR="00472A60" w:rsidRPr="00C40532">
        <w:rPr>
          <w:rStyle w:val="a5"/>
          <w:color w:val="A55858"/>
          <w:lang w:val="en-US"/>
        </w:rPr>
        <w:t>refinancing rate</w:t>
      </w:r>
      <w:r>
        <w:fldChar w:fldCharType="end"/>
      </w:r>
      <w:r w:rsidR="00472A60" w:rsidRPr="00C40532">
        <w:rPr>
          <w:rStyle w:val="apple-converted-space"/>
          <w:color w:val="222222"/>
          <w:lang w:val="en-US"/>
        </w:rPr>
        <w:t> </w:t>
      </w:r>
      <w:r w:rsidR="00472A60" w:rsidRPr="00C40532">
        <w:rPr>
          <w:color w:val="222222"/>
          <w:lang w:val="en-US"/>
        </w:rPr>
        <w:t>set by</w:t>
      </w:r>
      <w:r w:rsidR="00472A60" w:rsidRPr="00C40532">
        <w:rPr>
          <w:rStyle w:val="apple-converted-space"/>
          <w:color w:val="222222"/>
          <w:lang w:val="en-US"/>
        </w:rPr>
        <w:t> </w:t>
      </w:r>
      <w:r>
        <w:fldChar w:fldCharType="begin"/>
      </w:r>
      <w:r w:rsidRPr="003E0431">
        <w:rPr>
          <w:lang w:val="en-US"/>
        </w:rPr>
        <w:instrText>HYPERLINK "https://en.wikipedia.org/wiki/Central_Bank_of_Russia" \o "Central Bank of Russia"</w:instrText>
      </w:r>
      <w:r>
        <w:fldChar w:fldCharType="separate"/>
      </w:r>
      <w:r w:rsidR="00472A60" w:rsidRPr="00C40532">
        <w:rPr>
          <w:rStyle w:val="a5"/>
          <w:color w:val="0B0080"/>
          <w:lang w:val="en-US"/>
        </w:rPr>
        <w:t>Central Bank of Russia</w:t>
      </w:r>
      <w:r>
        <w:fldChar w:fldCharType="end"/>
      </w:r>
      <w:r w:rsidR="00472A60" w:rsidRPr="00C40532">
        <w:rPr>
          <w:color w:val="222222"/>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lastRenderedPageBreak/>
        <w:t>Capital gains from asset sales are taxable only if the seller owned the asset for less than 3 years. A special tax rate of 35 percent applies to lottery and gambling wins and excess of bank interest received over the threshold interest computed using refinancing rate. Interest rates are usually below the threshold, making interest tax free.</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Withholdings are remitted to the employer's registered region, rather than the employee's. The governments of</w:t>
      </w:r>
      <w:r w:rsidRPr="00C40532">
        <w:rPr>
          <w:rStyle w:val="apple-converted-space"/>
          <w:color w:val="222222"/>
          <w:lang w:val="en-US"/>
        </w:rPr>
        <w:t> </w:t>
      </w:r>
      <w:r w:rsidR="00AA3725">
        <w:fldChar w:fldCharType="begin"/>
      </w:r>
      <w:r w:rsidR="00AA3725" w:rsidRPr="003E0431">
        <w:rPr>
          <w:lang w:val="en-US"/>
        </w:rPr>
        <w:instrText>HYPERLINK "https://en.wikipedia.org/wiki/Moscow_Oblast" \o "Moscow Oblast"</w:instrText>
      </w:r>
      <w:r w:rsidR="00AA3725">
        <w:fldChar w:fldCharType="separate"/>
      </w:r>
      <w:r w:rsidRPr="00C40532">
        <w:rPr>
          <w:rStyle w:val="a5"/>
          <w:color w:val="0B0080"/>
          <w:lang w:val="en-US"/>
        </w:rPr>
        <w:t>Moscow Oblast</w:t>
      </w:r>
      <w:r w:rsidR="00AA3725">
        <w:fldChar w:fldCharType="end"/>
      </w:r>
      <w:r w:rsidRPr="00C40532">
        <w:rPr>
          <w:color w:val="222222"/>
          <w:lang w:val="en-US"/>
        </w:rPr>
        <w:t>,</w:t>
      </w:r>
      <w:r w:rsidRPr="00C40532">
        <w:rPr>
          <w:rStyle w:val="apple-converted-space"/>
          <w:color w:val="222222"/>
          <w:lang w:val="en-US"/>
        </w:rPr>
        <w:t> </w:t>
      </w:r>
      <w:r w:rsidR="00AA3725">
        <w:fldChar w:fldCharType="begin"/>
      </w:r>
      <w:r w:rsidR="00AA3725" w:rsidRPr="003E0431">
        <w:rPr>
          <w:lang w:val="en-US"/>
        </w:rPr>
        <w:instrText>HYPERLINK "https://en.wikipedia.org/wiki/Tver_Oblast" \o "Tver Oblast"</w:instrText>
      </w:r>
      <w:r w:rsidR="00AA3725">
        <w:fldChar w:fldCharType="separate"/>
      </w:r>
      <w:r w:rsidRPr="00C40532">
        <w:rPr>
          <w:rStyle w:val="a5"/>
          <w:color w:val="0B0080"/>
          <w:lang w:val="en-US"/>
        </w:rPr>
        <w:t>Tver Oblast</w:t>
      </w:r>
      <w:r w:rsidR="00AA3725">
        <w:fldChar w:fldCharType="end"/>
      </w:r>
      <w:r w:rsidRPr="00C40532">
        <w:rPr>
          <w:rStyle w:val="apple-converted-space"/>
          <w:color w:val="222222"/>
          <w:lang w:val="en-US"/>
        </w:rPr>
        <w:t> </w:t>
      </w:r>
      <w:r w:rsidRPr="00C40532">
        <w:rPr>
          <w:color w:val="222222"/>
          <w:lang w:val="en-US"/>
        </w:rPr>
        <w:t>and</w:t>
      </w:r>
      <w:r w:rsidRPr="00C40532">
        <w:rPr>
          <w:rStyle w:val="apple-converted-space"/>
          <w:color w:val="222222"/>
          <w:lang w:val="en-US"/>
        </w:rPr>
        <w:t> </w:t>
      </w:r>
      <w:r w:rsidR="00AA3725">
        <w:fldChar w:fldCharType="begin"/>
      </w:r>
      <w:r w:rsidR="00AA3725" w:rsidRPr="003E0431">
        <w:rPr>
          <w:lang w:val="en-US"/>
        </w:rPr>
        <w:instrText>HYPERLINK "https://en.wikipedia.org/wiki/Leningrad_Oblast" \o "Leningrad Oblast"</w:instrText>
      </w:r>
      <w:r w:rsidR="00AA3725">
        <w:fldChar w:fldCharType="separate"/>
      </w:r>
      <w:r w:rsidRPr="00C40532">
        <w:rPr>
          <w:rStyle w:val="a5"/>
          <w:color w:val="0B0080"/>
          <w:lang w:val="en-US"/>
        </w:rPr>
        <w:t>Leningrad Oblast</w:t>
      </w:r>
      <w:r w:rsidR="00AA3725">
        <w:fldChar w:fldCharType="end"/>
      </w:r>
      <w:r w:rsidRPr="00C40532">
        <w:rPr>
          <w:rStyle w:val="apple-converted-space"/>
          <w:color w:val="222222"/>
          <w:lang w:val="en-US"/>
        </w:rPr>
        <w:t> </w:t>
      </w:r>
      <w:r w:rsidRPr="00C40532">
        <w:rPr>
          <w:color w:val="222222"/>
          <w:lang w:val="en-US"/>
        </w:rPr>
        <w:t>object to this policy. They are net exporters of suburban manpower to Moscow and Saint Petersburg. In March 2008 Moscow Oblast initiated a federal bill intended to change the system in favor of suburban territories.</w:t>
      </w:r>
      <w:r w:rsidR="00AA3725">
        <w:fldChar w:fldCharType="begin"/>
      </w:r>
      <w:r w:rsidR="00AA3725" w:rsidRPr="003E0431">
        <w:rPr>
          <w:lang w:val="en-US"/>
        </w:rPr>
        <w:instrText>HYPERLINK "https://en.wikipedia.org/wiki/Taxation_in_Russia" \l "cite_note-43"</w:instrText>
      </w:r>
      <w:r w:rsidR="00AA3725">
        <w:fldChar w:fldCharType="separate"/>
      </w:r>
      <w:r w:rsidRPr="00C40532">
        <w:rPr>
          <w:rStyle w:val="a5"/>
          <w:color w:val="0B0080"/>
          <w:vertAlign w:val="superscript"/>
          <w:lang w:val="en-US"/>
        </w:rPr>
        <w:t>[43]</w:t>
      </w:r>
      <w:r w:rsidR="00AA3725">
        <w:fldChar w:fldCharType="end"/>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b/>
          <w:bCs/>
          <w:color w:val="222222"/>
          <w:lang w:val="en-US"/>
        </w:rPr>
        <w:t>Other federal taxes</w:t>
      </w:r>
      <w:r w:rsidRPr="00C40532">
        <w:rPr>
          <w:rStyle w:val="apple-converted-space"/>
          <w:color w:val="222222"/>
          <w:lang w:val="en-US"/>
        </w:rPr>
        <w:t> </w:t>
      </w:r>
      <w:r w:rsidRPr="00C40532">
        <w:rPr>
          <w:color w:val="222222"/>
          <w:lang w:val="en-US"/>
        </w:rPr>
        <w:t>prescribed by the Code include a</w:t>
      </w:r>
      <w:r w:rsidRPr="00C40532">
        <w:rPr>
          <w:rStyle w:val="apple-converted-space"/>
          <w:color w:val="222222"/>
          <w:lang w:val="en-US"/>
        </w:rPr>
        <w:t> </w:t>
      </w:r>
      <w:r w:rsidRPr="00C40532">
        <w:rPr>
          <w:b/>
          <w:bCs/>
          <w:color w:val="222222"/>
          <w:lang w:val="en-US"/>
        </w:rPr>
        <w:t>tax on animal and water wildlife</w:t>
      </w:r>
      <w:r w:rsidRPr="00C40532">
        <w:rPr>
          <w:color w:val="222222"/>
          <w:lang w:val="en-US"/>
        </w:rPr>
        <w:t>, levied upon licensed hunters and fisheries, and a document tax (</w:t>
      </w:r>
      <w:r w:rsidR="00AA3725">
        <w:fldChar w:fldCharType="begin"/>
      </w:r>
      <w:r w:rsidR="00AA3725" w:rsidRPr="003E0431">
        <w:rPr>
          <w:lang w:val="en-US"/>
        </w:rPr>
        <w:instrText>HYPERLINK "https://en.wikipedia.org/wiki/Stamp_duty" \o "Stamp duty"</w:instrText>
      </w:r>
      <w:r w:rsidR="00AA3725">
        <w:fldChar w:fldCharType="separate"/>
      </w:r>
      <w:r w:rsidRPr="00C40532">
        <w:rPr>
          <w:rStyle w:val="a5"/>
          <w:b/>
          <w:bCs/>
          <w:color w:val="0B0080"/>
          <w:lang w:val="en-US"/>
        </w:rPr>
        <w:t>stamp duty</w:t>
      </w:r>
      <w:r w:rsidR="00AA3725">
        <w:fldChar w:fldCharType="end"/>
      </w:r>
      <w:r w:rsidRPr="00C40532">
        <w:rPr>
          <w:color w:val="222222"/>
          <w:lang w:val="en-US"/>
        </w:rPr>
        <w:t>), most notably the</w:t>
      </w:r>
      <w:r w:rsidRPr="00C40532">
        <w:rPr>
          <w:rStyle w:val="apple-converted-space"/>
          <w:color w:val="222222"/>
          <w:lang w:val="en-US"/>
        </w:rPr>
        <w:t> </w:t>
      </w:r>
      <w:r w:rsidR="00AA3725">
        <w:fldChar w:fldCharType="begin"/>
      </w:r>
      <w:r w:rsidR="00AA3725" w:rsidRPr="003E0431">
        <w:rPr>
          <w:lang w:val="en-US"/>
        </w:rPr>
        <w:instrText>HYPERLINK "https://en.wikipedia.org/wiki/Ad_valorem" \o "Ad valorem"</w:instrText>
      </w:r>
      <w:r w:rsidR="00AA3725">
        <w:fldChar w:fldCharType="separate"/>
      </w:r>
      <w:r w:rsidRPr="00C40532">
        <w:rPr>
          <w:rStyle w:val="a5"/>
          <w:color w:val="0B0080"/>
          <w:lang w:val="en-US"/>
        </w:rPr>
        <w:t>ad valorem</w:t>
      </w:r>
      <w:r w:rsidR="00AA3725">
        <w:fldChar w:fldCharType="end"/>
      </w:r>
      <w:r w:rsidRPr="00C40532">
        <w:rPr>
          <w:rStyle w:val="apple-converted-space"/>
          <w:color w:val="222222"/>
          <w:lang w:val="en-US"/>
        </w:rPr>
        <w:t> </w:t>
      </w:r>
      <w:r w:rsidRPr="00C40532">
        <w:rPr>
          <w:color w:val="222222"/>
          <w:lang w:val="en-US"/>
        </w:rPr>
        <w:t>duty required to start</w:t>
      </w:r>
      <w:r w:rsidRPr="00C40532">
        <w:rPr>
          <w:rStyle w:val="apple-converted-space"/>
          <w:color w:val="222222"/>
          <w:lang w:val="en-US"/>
        </w:rPr>
        <w:t> </w:t>
      </w:r>
      <w:r w:rsidR="00AA3725">
        <w:fldChar w:fldCharType="begin"/>
      </w:r>
      <w:r w:rsidR="00AA3725" w:rsidRPr="003E0431">
        <w:rPr>
          <w:lang w:val="en-US"/>
        </w:rPr>
        <w:instrText>HYPERLINK "https://en.wikipedia.org/wiki/Civil_litigation" \o "Civil litigation"</w:instrText>
      </w:r>
      <w:r w:rsidR="00AA3725">
        <w:fldChar w:fldCharType="separate"/>
      </w:r>
      <w:r w:rsidRPr="00C40532">
        <w:rPr>
          <w:rStyle w:val="a5"/>
          <w:color w:val="0B0080"/>
          <w:lang w:val="en-US"/>
        </w:rPr>
        <w:t>civil litigation</w:t>
      </w:r>
      <w:r w:rsidR="00AA3725">
        <w:fldChar w:fldCharType="end"/>
      </w:r>
      <w:r w:rsidRPr="00C40532">
        <w:rPr>
          <w:rStyle w:val="apple-converted-space"/>
          <w:color w:val="222222"/>
          <w:lang w:val="en-US"/>
        </w:rPr>
        <w:t> </w:t>
      </w:r>
      <w:r w:rsidRPr="00C40532">
        <w:rPr>
          <w:color w:val="222222"/>
          <w:lang w:val="en-US"/>
        </w:rPr>
        <w:t>in state courts.</w:t>
      </w:r>
    </w:p>
    <w:p w:rsidR="00472A60" w:rsidRPr="00C40532" w:rsidRDefault="00472A60" w:rsidP="00472A60">
      <w:pPr>
        <w:pStyle w:val="2"/>
        <w:pBdr>
          <w:bottom w:val="single" w:sz="6" w:space="0" w:color="A2A9B1"/>
        </w:pBdr>
        <w:shd w:val="clear" w:color="auto" w:fill="FFFFFF"/>
        <w:spacing w:before="0" w:beforeAutospacing="0" w:after="0" w:afterAutospacing="0"/>
        <w:jc w:val="both"/>
        <w:rPr>
          <w:b w:val="0"/>
          <w:bCs w:val="0"/>
          <w:color w:val="000000"/>
          <w:sz w:val="24"/>
          <w:szCs w:val="24"/>
          <w:lang w:val="en-US"/>
        </w:rPr>
      </w:pPr>
      <w:r w:rsidRPr="00C40532">
        <w:rPr>
          <w:rStyle w:val="mw-headline"/>
          <w:b w:val="0"/>
          <w:bCs w:val="0"/>
          <w:color w:val="000000"/>
          <w:sz w:val="24"/>
          <w:szCs w:val="24"/>
          <w:lang w:val="en-US"/>
        </w:rPr>
        <w:t xml:space="preserve">Regional and local </w:t>
      </w:r>
      <w:proofErr w:type="gramStart"/>
      <w:r w:rsidRPr="00C40532">
        <w:rPr>
          <w:rStyle w:val="mw-headline"/>
          <w:b w:val="0"/>
          <w:bCs w:val="0"/>
          <w:color w:val="000000"/>
          <w:sz w:val="24"/>
          <w:szCs w:val="24"/>
          <w:lang w:val="en-US"/>
        </w:rPr>
        <w:t>taxes</w:t>
      </w:r>
      <w:r w:rsidRPr="00C40532">
        <w:rPr>
          <w:rStyle w:val="mw-editsection-bracket"/>
          <w:b w:val="0"/>
          <w:bCs w:val="0"/>
          <w:color w:val="555555"/>
          <w:sz w:val="24"/>
          <w:szCs w:val="24"/>
          <w:lang w:val="en-US"/>
        </w:rPr>
        <w:t>[</w:t>
      </w:r>
      <w:proofErr w:type="gramEnd"/>
      <w:r w:rsidR="00AA3725">
        <w:fldChar w:fldCharType="begin"/>
      </w:r>
      <w:r w:rsidR="00004B32" w:rsidRPr="008B4EEF">
        <w:rPr>
          <w:lang w:val="en-US"/>
        </w:rPr>
        <w:instrText>HYPERLINK "https://en.wikipedia.org/w/index.php?title=Taxation_in_Russia&amp;action=edit&amp;section=7" \o "Edit section: Regional and local taxes"</w:instrText>
      </w:r>
      <w:r w:rsidR="00AA3725">
        <w:fldChar w:fldCharType="separate"/>
      </w:r>
      <w:r w:rsidRPr="00C40532">
        <w:rPr>
          <w:rStyle w:val="a5"/>
          <w:b w:val="0"/>
          <w:bCs w:val="0"/>
          <w:color w:val="0B0080"/>
          <w:sz w:val="24"/>
          <w:szCs w:val="24"/>
          <w:lang w:val="en-US"/>
        </w:rPr>
        <w:t>edit</w:t>
      </w:r>
      <w:r w:rsidR="00AA3725">
        <w:fldChar w:fldCharType="end"/>
      </w:r>
      <w:r w:rsidRPr="00C40532">
        <w:rPr>
          <w:rStyle w:val="mw-editsection-bracket"/>
          <w:b w:val="0"/>
          <w:bCs w:val="0"/>
          <w:color w:val="555555"/>
          <w:sz w:val="24"/>
          <w:szCs w:val="24"/>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All regional and local taxes in Russia are</w:t>
      </w:r>
      <w:r w:rsidRPr="00C40532">
        <w:rPr>
          <w:rStyle w:val="apple-converted-space"/>
          <w:color w:val="222222"/>
          <w:lang w:val="en-US"/>
        </w:rPr>
        <w:t> </w:t>
      </w:r>
      <w:r w:rsidR="00AA3725">
        <w:fldChar w:fldCharType="begin"/>
      </w:r>
      <w:r w:rsidR="00AA3725" w:rsidRPr="003E0431">
        <w:rPr>
          <w:lang w:val="en-US"/>
        </w:rPr>
        <w:instrText>HYPERLINK "https://en.wikipedia.org/wiki/Asset" \o "Asset"</w:instrText>
      </w:r>
      <w:r w:rsidR="00AA3725">
        <w:fldChar w:fldCharType="separate"/>
      </w:r>
      <w:r w:rsidRPr="00C40532">
        <w:rPr>
          <w:rStyle w:val="a5"/>
          <w:color w:val="0B0080"/>
          <w:lang w:val="en-US"/>
        </w:rPr>
        <w:t>asset</w:t>
      </w:r>
      <w:r w:rsidR="00AA3725">
        <w:fldChar w:fldCharType="end"/>
      </w:r>
      <w:r w:rsidRPr="00C40532">
        <w:rPr>
          <w:color w:val="222222"/>
          <w:lang w:val="en-US"/>
        </w:rPr>
        <w:t>-related:</w:t>
      </w:r>
      <w:r w:rsidRPr="00C40532">
        <w:rPr>
          <w:rStyle w:val="apple-converted-space"/>
          <w:color w:val="222222"/>
          <w:lang w:val="en-US"/>
        </w:rPr>
        <w:t> </w:t>
      </w:r>
      <w:r w:rsidR="00AA3725">
        <w:fldChar w:fldCharType="begin"/>
      </w:r>
      <w:r w:rsidR="00AA3725" w:rsidRPr="003E0431">
        <w:rPr>
          <w:lang w:val="en-US"/>
        </w:rPr>
        <w:instrText>HYPERLINK "https://en.wikipedia.org/wiki/Property_tax" \o "Property tax"</w:instrText>
      </w:r>
      <w:r w:rsidR="00AA3725">
        <w:fldChar w:fldCharType="separate"/>
      </w:r>
      <w:r w:rsidRPr="00C40532">
        <w:rPr>
          <w:rStyle w:val="a5"/>
          <w:color w:val="0B0080"/>
          <w:lang w:val="en-US"/>
        </w:rPr>
        <w:t>property tax</w:t>
      </w:r>
      <w:r w:rsidR="00AA3725">
        <w:fldChar w:fldCharType="end"/>
      </w:r>
      <w:r w:rsidRPr="00C40532">
        <w:rPr>
          <w:color w:val="222222"/>
          <w:lang w:val="en-US"/>
        </w:rPr>
        <w:t>,</w:t>
      </w:r>
      <w:r w:rsidRPr="00C40532">
        <w:rPr>
          <w:rStyle w:val="apple-converted-space"/>
          <w:color w:val="222222"/>
          <w:lang w:val="en-US"/>
        </w:rPr>
        <w:t> </w:t>
      </w:r>
      <w:r w:rsidR="00AA3725">
        <w:fldChar w:fldCharType="begin"/>
      </w:r>
      <w:r w:rsidR="00AA3725" w:rsidRPr="003E0431">
        <w:rPr>
          <w:lang w:val="en-US"/>
        </w:rPr>
        <w:instrText>HYPERLINK "https://en.wikipedia.org/w/index.php?title=Vehicle_tax&amp;action=edit&amp;redlink=1" \o "Vehicle tax (page does not exist)"</w:instrText>
      </w:r>
      <w:r w:rsidR="00AA3725">
        <w:fldChar w:fldCharType="separate"/>
      </w:r>
      <w:r w:rsidRPr="00C40532">
        <w:rPr>
          <w:rStyle w:val="a5"/>
          <w:color w:val="A55858"/>
          <w:lang w:val="en-US"/>
        </w:rPr>
        <w:t>vehicle tax</w:t>
      </w:r>
      <w:r w:rsidR="00AA3725">
        <w:fldChar w:fldCharType="end"/>
      </w:r>
      <w:r w:rsidRPr="00C40532">
        <w:rPr>
          <w:color w:val="222222"/>
          <w:lang w:val="en-US"/>
        </w:rPr>
        <w:t>,</w:t>
      </w:r>
      <w:r w:rsidRPr="00C40532">
        <w:rPr>
          <w:rStyle w:val="apple-converted-space"/>
          <w:color w:val="222222"/>
          <w:lang w:val="en-US"/>
        </w:rPr>
        <w:t> </w:t>
      </w:r>
      <w:r w:rsidR="00AA3725">
        <w:fldChar w:fldCharType="begin"/>
      </w:r>
      <w:r w:rsidR="00AA3725" w:rsidRPr="003E0431">
        <w:rPr>
          <w:lang w:val="en-US"/>
        </w:rPr>
        <w:instrText>HYPERLINK "https://en.wikipedia.org/wiki/Land_tax" \o "Land tax"</w:instrText>
      </w:r>
      <w:r w:rsidR="00AA3725">
        <w:fldChar w:fldCharType="separate"/>
      </w:r>
      <w:r w:rsidRPr="00C40532">
        <w:rPr>
          <w:rStyle w:val="a5"/>
          <w:color w:val="0B0080"/>
          <w:lang w:val="en-US"/>
        </w:rPr>
        <w:t>land tax</w:t>
      </w:r>
      <w:r w:rsidR="00AA3725">
        <w:fldChar w:fldCharType="end"/>
      </w:r>
      <w:r w:rsidRPr="00C40532">
        <w:rPr>
          <w:rStyle w:val="apple-converted-space"/>
          <w:color w:val="222222"/>
          <w:lang w:val="en-US"/>
        </w:rPr>
        <w:t> </w:t>
      </w:r>
      <w:r w:rsidRPr="00C40532">
        <w:rPr>
          <w:color w:val="222222"/>
          <w:lang w:val="en-US"/>
        </w:rPr>
        <w:t>and tax on gambling businesses. These taxes are assessed and paid</w:t>
      </w:r>
      <w:r w:rsidRPr="00C40532">
        <w:rPr>
          <w:rStyle w:val="apple-converted-space"/>
          <w:color w:val="222222"/>
          <w:lang w:val="en-US"/>
        </w:rPr>
        <w:t> </w:t>
      </w:r>
      <w:r w:rsidR="00AA3725">
        <w:fldChar w:fldCharType="begin"/>
      </w:r>
      <w:r w:rsidR="00AA3725" w:rsidRPr="003E0431">
        <w:rPr>
          <w:lang w:val="en-US"/>
        </w:rPr>
        <w:instrText>HYPERLINK "https://en.wikipedia.org/wiki/In_re" \o "In re"</w:instrText>
      </w:r>
      <w:r w:rsidR="00AA3725">
        <w:fldChar w:fldCharType="separate"/>
      </w:r>
      <w:r w:rsidRPr="00C40532">
        <w:rPr>
          <w:rStyle w:val="a5"/>
          <w:i/>
          <w:iCs/>
          <w:color w:val="0B0080"/>
          <w:lang w:val="en-US"/>
        </w:rPr>
        <w:t>in re</w:t>
      </w:r>
      <w:r w:rsidR="00AA3725">
        <w:fldChar w:fldCharType="end"/>
      </w:r>
      <w:r w:rsidRPr="00C40532">
        <w:rPr>
          <w:color w:val="222222"/>
          <w:lang w:val="en-US"/>
        </w:rPr>
        <w:t>. Exact rates are set by regional (property, vehicles, gambling) or municipal (land) legislators within the Code's framework.</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b/>
          <w:bCs/>
          <w:color w:val="222222"/>
          <w:lang w:val="en-US"/>
        </w:rPr>
        <w:t>Land tax</w:t>
      </w:r>
      <w:r w:rsidRPr="00C40532">
        <w:rPr>
          <w:rStyle w:val="apple-converted-space"/>
          <w:color w:val="222222"/>
          <w:lang w:val="en-US"/>
        </w:rPr>
        <w:t> </w:t>
      </w:r>
      <w:r w:rsidRPr="00C40532">
        <w:rPr>
          <w:color w:val="222222"/>
          <w:lang w:val="en-US"/>
        </w:rPr>
        <w:t>is the only</w:t>
      </w:r>
      <w:r w:rsidRPr="00C40532">
        <w:rPr>
          <w:rStyle w:val="apple-converted-space"/>
          <w:color w:val="222222"/>
          <w:lang w:val="en-US"/>
        </w:rPr>
        <w:t> </w:t>
      </w:r>
      <w:r w:rsidRPr="00C40532">
        <w:rPr>
          <w:i/>
          <w:iCs/>
          <w:color w:val="222222"/>
          <w:lang w:val="en-US"/>
        </w:rPr>
        <w:t>local tax</w:t>
      </w:r>
      <w:r w:rsidRPr="00C40532">
        <w:rPr>
          <w:rStyle w:val="apple-converted-space"/>
          <w:color w:val="222222"/>
          <w:lang w:val="en-US"/>
        </w:rPr>
        <w:t> </w:t>
      </w:r>
      <w:r w:rsidRPr="00C40532">
        <w:rPr>
          <w:color w:val="222222"/>
          <w:lang w:val="en-US"/>
        </w:rPr>
        <w:t>in Russia: its rates are set by municipal authorities (excluding the</w:t>
      </w:r>
      <w:r w:rsidRPr="00C40532">
        <w:rPr>
          <w:rStyle w:val="apple-converted-space"/>
          <w:color w:val="222222"/>
          <w:lang w:val="en-US"/>
        </w:rPr>
        <w:t> </w:t>
      </w:r>
      <w:r w:rsidR="00AA3725">
        <w:fldChar w:fldCharType="begin"/>
      </w:r>
      <w:r w:rsidR="00AA3725" w:rsidRPr="003E0431">
        <w:rPr>
          <w:lang w:val="en-US"/>
        </w:rPr>
        <w:instrText>HYPERLINK "https://en.wikipedia.org/wiki/Federal_cities_of_Russia" \o "Federal cities of Russia"</w:instrText>
      </w:r>
      <w:r w:rsidR="00AA3725">
        <w:fldChar w:fldCharType="separate"/>
      </w:r>
      <w:r w:rsidRPr="00C40532">
        <w:rPr>
          <w:rStyle w:val="a5"/>
          <w:color w:val="0B0080"/>
          <w:lang w:val="en-US"/>
        </w:rPr>
        <w:t>federal cities</w:t>
      </w:r>
      <w:r w:rsidR="00AA3725">
        <w:fldChar w:fldCharType="end"/>
      </w:r>
      <w:r w:rsidRPr="00C40532">
        <w:rPr>
          <w:rStyle w:val="apple-converted-space"/>
          <w:color w:val="222222"/>
          <w:lang w:val="en-US"/>
        </w:rPr>
        <w:t> </w:t>
      </w:r>
      <w:r w:rsidRPr="00C40532">
        <w:rPr>
          <w:color w:val="222222"/>
          <w:lang w:val="en-US"/>
        </w:rPr>
        <w:t>of</w:t>
      </w:r>
      <w:r w:rsidRPr="00C40532">
        <w:rPr>
          <w:rStyle w:val="apple-converted-space"/>
          <w:color w:val="222222"/>
          <w:lang w:val="en-US"/>
        </w:rPr>
        <w:t> </w:t>
      </w:r>
      <w:r w:rsidR="00AA3725">
        <w:fldChar w:fldCharType="begin"/>
      </w:r>
      <w:r w:rsidR="00AA3725" w:rsidRPr="003E0431">
        <w:rPr>
          <w:lang w:val="en-US"/>
        </w:rPr>
        <w:instrText>HYPERLINK "https://en.wikipedia.org/wiki/Moscow" \o "Moscow"</w:instrText>
      </w:r>
      <w:r w:rsidR="00AA3725">
        <w:fldChar w:fldCharType="separate"/>
      </w:r>
      <w:r w:rsidRPr="00C40532">
        <w:rPr>
          <w:rStyle w:val="a5"/>
          <w:color w:val="0B0080"/>
          <w:lang w:val="en-US"/>
        </w:rPr>
        <w:t>Moscow</w:t>
      </w:r>
      <w:r w:rsidR="00AA3725">
        <w:fldChar w:fldCharType="end"/>
      </w:r>
      <w:r w:rsidRPr="00C40532">
        <w:rPr>
          <w:rStyle w:val="apple-converted-space"/>
          <w:color w:val="222222"/>
          <w:lang w:val="en-US"/>
        </w:rPr>
        <w:t> </w:t>
      </w:r>
      <w:r w:rsidRPr="00C40532">
        <w:rPr>
          <w:color w:val="222222"/>
          <w:lang w:val="en-US"/>
        </w:rPr>
        <w:t>and</w:t>
      </w:r>
      <w:r w:rsidRPr="00C40532">
        <w:rPr>
          <w:rStyle w:val="apple-converted-space"/>
          <w:color w:val="222222"/>
          <w:lang w:val="en-US"/>
        </w:rPr>
        <w:t> </w:t>
      </w:r>
      <w:r w:rsidR="00AA3725">
        <w:fldChar w:fldCharType="begin"/>
      </w:r>
      <w:r w:rsidR="00AA3725" w:rsidRPr="003E0431">
        <w:rPr>
          <w:lang w:val="en-US"/>
        </w:rPr>
        <w:instrText>HYPERLINK "https://en.wikipedia.org/wiki/Saint_Petersburg" \o "Saint Petersburg"</w:instrText>
      </w:r>
      <w:r w:rsidR="00AA3725">
        <w:fldChar w:fldCharType="separate"/>
      </w:r>
      <w:r w:rsidRPr="00C40532">
        <w:rPr>
          <w:rStyle w:val="a5"/>
          <w:color w:val="0B0080"/>
          <w:lang w:val="en-US"/>
        </w:rPr>
        <w:t>Saint Petersburg</w:t>
      </w:r>
      <w:r w:rsidR="00AA3725">
        <w:fldChar w:fldCharType="end"/>
      </w:r>
      <w:r w:rsidRPr="00C40532">
        <w:rPr>
          <w:color w:val="222222"/>
          <w:lang w:val="en-US"/>
        </w:rPr>
        <w:t>, where the rates are set by city legislators). The maximum rate is 0.3 percent on lands</w:t>
      </w:r>
      <w:r w:rsidRPr="00C40532">
        <w:rPr>
          <w:rStyle w:val="apple-converted-space"/>
          <w:color w:val="222222"/>
          <w:lang w:val="en-US"/>
        </w:rPr>
        <w:t> </w:t>
      </w:r>
      <w:r w:rsidR="00AA3725">
        <w:fldChar w:fldCharType="begin"/>
      </w:r>
      <w:r w:rsidR="00AA3725" w:rsidRPr="003E0431">
        <w:rPr>
          <w:lang w:val="en-US"/>
        </w:rPr>
        <w:instrText>HYPERLINK "https://en.wikipedia.org/wiki/Zoning" \o "Zoning"</w:instrText>
      </w:r>
      <w:r w:rsidR="00AA3725">
        <w:fldChar w:fldCharType="separate"/>
      </w:r>
      <w:r w:rsidRPr="00C40532">
        <w:rPr>
          <w:rStyle w:val="a5"/>
          <w:color w:val="0B0080"/>
          <w:lang w:val="en-US"/>
        </w:rPr>
        <w:t>zoned</w:t>
      </w:r>
      <w:r w:rsidR="00AA3725">
        <w:fldChar w:fldCharType="end"/>
      </w:r>
      <w:r w:rsidRPr="00C40532">
        <w:rPr>
          <w:rStyle w:val="apple-converted-space"/>
          <w:color w:val="222222"/>
          <w:lang w:val="en-US"/>
        </w:rPr>
        <w:t> </w:t>
      </w:r>
      <w:r w:rsidRPr="00C40532">
        <w:rPr>
          <w:color w:val="222222"/>
          <w:lang w:val="en-US"/>
        </w:rPr>
        <w:t>for agriculture, housing and</w:t>
      </w:r>
      <w:r w:rsidRPr="00C40532">
        <w:rPr>
          <w:rStyle w:val="apple-converted-space"/>
          <w:color w:val="222222"/>
          <w:lang w:val="en-US"/>
        </w:rPr>
        <w:t> </w:t>
      </w:r>
      <w:r w:rsidR="00AA3725">
        <w:fldChar w:fldCharType="begin"/>
      </w:r>
      <w:r w:rsidR="00AA3725" w:rsidRPr="003E0431">
        <w:rPr>
          <w:lang w:val="en-US"/>
        </w:rPr>
        <w:instrText>HYPERLINK "https://en.wikipedia.org/wiki/Dacha" \o "Dacha"</w:instrText>
      </w:r>
      <w:r w:rsidR="00AA3725">
        <w:fldChar w:fldCharType="separate"/>
      </w:r>
      <w:r w:rsidRPr="00C40532">
        <w:rPr>
          <w:rStyle w:val="a5"/>
          <w:color w:val="0B0080"/>
          <w:lang w:val="en-US"/>
        </w:rPr>
        <w:t>dachas</w:t>
      </w:r>
      <w:r w:rsidR="00AA3725">
        <w:fldChar w:fldCharType="end"/>
      </w:r>
      <w:r w:rsidRPr="00C40532">
        <w:rPr>
          <w:color w:val="222222"/>
          <w:lang w:val="en-US"/>
        </w:rPr>
        <w:t>, and 1.5 percent on other lands. Forest reserves and bodies of water are exempt. Land values are periodically assessed by land registrars and kept substantially below market prices. Unlike corporate property tax, land tax is paid by individual taxpayers.</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b/>
          <w:bCs/>
          <w:color w:val="222222"/>
          <w:lang w:val="en-US"/>
        </w:rPr>
        <w:t>Corporate property tax</w:t>
      </w:r>
      <w:r w:rsidRPr="00C40532">
        <w:rPr>
          <w:color w:val="222222"/>
          <w:lang w:val="en-US"/>
        </w:rPr>
        <w:t>, or tax on</w:t>
      </w:r>
      <w:r w:rsidRPr="00C40532">
        <w:rPr>
          <w:rStyle w:val="apple-converted-space"/>
          <w:color w:val="222222"/>
          <w:lang w:val="en-US"/>
        </w:rPr>
        <w:t> </w:t>
      </w:r>
      <w:r w:rsidR="00AA3725">
        <w:fldChar w:fldCharType="begin"/>
      </w:r>
      <w:r w:rsidR="00AA3725" w:rsidRPr="003E0431">
        <w:rPr>
          <w:lang w:val="en-US"/>
        </w:rPr>
        <w:instrText>HYPERLINK "https://en.wikipedia.org/wiki/Fixed_assets" \o "Fixed assets"</w:instrText>
      </w:r>
      <w:r w:rsidR="00AA3725">
        <w:fldChar w:fldCharType="separate"/>
      </w:r>
      <w:r w:rsidRPr="00C40532">
        <w:rPr>
          <w:rStyle w:val="a5"/>
          <w:color w:val="0B0080"/>
          <w:lang w:val="en-US"/>
        </w:rPr>
        <w:t>fixed assets</w:t>
      </w:r>
      <w:r w:rsidR="00AA3725">
        <w:fldChar w:fldCharType="end"/>
      </w:r>
      <w:r w:rsidRPr="00C40532">
        <w:rPr>
          <w:color w:val="222222"/>
          <w:lang w:val="en-US"/>
        </w:rPr>
        <w:t>, is assessed on year-averaged book value of fixed assets</w:t>
      </w:r>
      <w:r w:rsidRPr="00C40532">
        <w:rPr>
          <w:rStyle w:val="apple-converted-space"/>
          <w:color w:val="222222"/>
          <w:lang w:val="en-US"/>
        </w:rPr>
        <w:t> </w:t>
      </w:r>
      <w:r w:rsidRPr="00C40532">
        <w:rPr>
          <w:i/>
          <w:iCs/>
          <w:color w:val="222222"/>
          <w:lang w:val="en-US"/>
        </w:rPr>
        <w:t>excluding</w:t>
      </w:r>
      <w:r w:rsidRPr="00C40532">
        <w:rPr>
          <w:rStyle w:val="apple-converted-space"/>
          <w:color w:val="222222"/>
          <w:lang w:val="en-US"/>
        </w:rPr>
        <w:t> </w:t>
      </w:r>
      <w:r w:rsidRPr="00C40532">
        <w:rPr>
          <w:color w:val="222222"/>
          <w:lang w:val="en-US"/>
        </w:rPr>
        <w:t>land (which is subject to land tax). Radioactive waste storage facilities, space</w:t>
      </w:r>
      <w:r w:rsidRPr="00C40532">
        <w:rPr>
          <w:rStyle w:val="apple-converted-space"/>
          <w:color w:val="222222"/>
          <w:lang w:val="en-US"/>
        </w:rPr>
        <w:t> </w:t>
      </w:r>
      <w:r w:rsidR="00AA3725">
        <w:fldChar w:fldCharType="begin"/>
      </w:r>
      <w:r w:rsidR="00AA3725" w:rsidRPr="003E0431">
        <w:rPr>
          <w:lang w:val="en-US"/>
        </w:rPr>
        <w:instrText>HYPERLINK "https://en.wikipedia.org/wiki/Satellite" \o "Satellite"</w:instrText>
      </w:r>
      <w:r w:rsidR="00AA3725">
        <w:fldChar w:fldCharType="separate"/>
      </w:r>
      <w:r w:rsidRPr="00C40532">
        <w:rPr>
          <w:rStyle w:val="a5"/>
          <w:color w:val="0B0080"/>
          <w:lang w:val="en-US"/>
        </w:rPr>
        <w:t>satellites</w:t>
      </w:r>
      <w:r w:rsidR="00AA3725">
        <w:fldChar w:fldCharType="end"/>
      </w:r>
      <w:r w:rsidRPr="00C40532">
        <w:rPr>
          <w:color w:val="222222"/>
          <w:lang w:val="en-US"/>
        </w:rPr>
        <w:t>, church property and other itemized assets are specifically exempt from taxation.</w:t>
      </w:r>
      <w:r w:rsidR="00AA3725">
        <w:fldChar w:fldCharType="begin"/>
      </w:r>
      <w:r w:rsidR="00AA3725" w:rsidRPr="003E0431">
        <w:rPr>
          <w:lang w:val="en-US"/>
        </w:rPr>
        <w:instrText>HYPERLINK "https://en.wikipedia.org/wiki/Taxation_in_Russia" \l "cite_note-45"</w:instrText>
      </w:r>
      <w:r w:rsidR="00AA3725">
        <w:fldChar w:fldCharType="separate"/>
      </w:r>
      <w:r w:rsidRPr="00C40532">
        <w:rPr>
          <w:rStyle w:val="a5"/>
          <w:color w:val="0B0080"/>
          <w:vertAlign w:val="superscript"/>
          <w:lang w:val="en-US"/>
        </w:rPr>
        <w:t>[45]</w:t>
      </w:r>
      <w:r w:rsidR="00AA3725">
        <w:fldChar w:fldCharType="end"/>
      </w:r>
      <w:r w:rsidRPr="00C40532">
        <w:rPr>
          <w:rStyle w:val="apple-converted-space"/>
          <w:color w:val="222222"/>
          <w:lang w:val="en-US"/>
        </w:rPr>
        <w:t> </w:t>
      </w:r>
      <w:r w:rsidRPr="00C40532">
        <w:rPr>
          <w:color w:val="222222"/>
          <w:lang w:val="en-US"/>
        </w:rPr>
        <w:t>The maximum rate is 2.2 percent; regional authorities can vary rates depending on types of taxpayers and assets.</w:t>
      </w:r>
      <w:r w:rsidR="00AA3725">
        <w:fldChar w:fldCharType="begin"/>
      </w:r>
      <w:r w:rsidR="00AA3725" w:rsidRPr="003E0431">
        <w:rPr>
          <w:lang w:val="en-US"/>
        </w:rPr>
        <w:instrText>HYPERLINK "https://en.wikipedia.org/wiki/Taxation_in_Russia" \l "cite_note-46"</w:instrText>
      </w:r>
      <w:r w:rsidR="00AA3725">
        <w:fldChar w:fldCharType="separate"/>
      </w:r>
      <w:r w:rsidRPr="00C40532">
        <w:rPr>
          <w:rStyle w:val="a5"/>
          <w:color w:val="0B0080"/>
          <w:vertAlign w:val="superscript"/>
          <w:lang w:val="en-US"/>
        </w:rPr>
        <w:t>[46]</w:t>
      </w:r>
      <w:r w:rsidR="00AA3725">
        <w:fldChar w:fldCharType="end"/>
      </w:r>
      <w:r w:rsidRPr="00C40532">
        <w:rPr>
          <w:rStyle w:val="apple-converted-space"/>
          <w:color w:val="222222"/>
          <w:lang w:val="en-US"/>
        </w:rPr>
        <w:t> </w:t>
      </w:r>
      <w:r w:rsidRPr="00C40532">
        <w:rPr>
          <w:color w:val="222222"/>
          <w:lang w:val="en-US"/>
        </w:rPr>
        <w:t>This provides a method to establish disguised individual preferences, which are outlawed by the Code.</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b/>
          <w:bCs/>
          <w:color w:val="222222"/>
          <w:lang w:val="en-US"/>
        </w:rPr>
        <w:t>Vehicle tax</w:t>
      </w:r>
      <w:r w:rsidRPr="00C40532">
        <w:rPr>
          <w:rStyle w:val="apple-converted-space"/>
          <w:color w:val="222222"/>
          <w:lang w:val="en-US"/>
        </w:rPr>
        <w:t> </w:t>
      </w:r>
      <w:r w:rsidRPr="00C40532">
        <w:rPr>
          <w:color w:val="222222"/>
          <w:lang w:val="en-US"/>
        </w:rPr>
        <w:t>is levied annually on owners of motor vehicles and trailers, ships, and aircraft. Commercial ships and aircraft operated by transportation companies, agricultural, military vehicles and ambulances are exempt. The Code establishes maximum rates tied to engine power. Rates increase steeply with increasing horsepower.</w:t>
      </w:r>
      <w:r w:rsidR="00AA3725">
        <w:fldChar w:fldCharType="begin"/>
      </w:r>
      <w:r w:rsidR="00AA3725" w:rsidRPr="003E0431">
        <w:rPr>
          <w:lang w:val="en-US"/>
        </w:rPr>
        <w:instrText>HYPERLINK "https://en.wikipedia.org/wiki/Taxation_in_Russia" \l "cite_note-47"</w:instrText>
      </w:r>
      <w:r w:rsidR="00AA3725">
        <w:fldChar w:fldCharType="separate"/>
      </w:r>
      <w:r w:rsidRPr="00C40532">
        <w:rPr>
          <w:rStyle w:val="a5"/>
          <w:color w:val="0B0080"/>
          <w:vertAlign w:val="superscript"/>
          <w:lang w:val="en-US"/>
        </w:rPr>
        <w:t>[47]</w:t>
      </w:r>
      <w:r w:rsidR="00AA3725">
        <w:fldChar w:fldCharType="end"/>
      </w:r>
      <w:r w:rsidRPr="00C40532">
        <w:rPr>
          <w:rStyle w:val="apple-converted-space"/>
          <w:color w:val="222222"/>
          <w:lang w:val="en-US"/>
        </w:rPr>
        <w:t> </w:t>
      </w:r>
      <w:r w:rsidRPr="00C40532">
        <w:rPr>
          <w:color w:val="222222"/>
          <w:lang w:val="en-US"/>
        </w:rPr>
        <w:t>For example, in 2009 fiscal year the city of</w:t>
      </w:r>
      <w:r w:rsidRPr="00C40532">
        <w:rPr>
          <w:rStyle w:val="apple-converted-space"/>
          <w:color w:val="222222"/>
          <w:lang w:val="en-US"/>
        </w:rPr>
        <w:t> </w:t>
      </w:r>
      <w:hyperlink r:id="rId108" w:tooltip="Moscow" w:history="1">
        <w:r w:rsidRPr="00C40532">
          <w:rPr>
            <w:rStyle w:val="a5"/>
            <w:color w:val="0B0080"/>
            <w:lang w:val="en-US"/>
          </w:rPr>
          <w:t>Moscow</w:t>
        </w:r>
      </w:hyperlink>
      <w:r w:rsidRPr="00C40532">
        <w:rPr>
          <w:rStyle w:val="apple-converted-space"/>
          <w:color w:val="222222"/>
          <w:lang w:val="en-US"/>
        </w:rPr>
        <w:t> </w:t>
      </w:r>
      <w:r w:rsidRPr="00C40532">
        <w:rPr>
          <w:color w:val="222222"/>
          <w:lang w:val="en-US"/>
        </w:rPr>
        <w:t>levies 700 roubles on a 100</w:t>
      </w:r>
      <w:r w:rsidRPr="00C40532">
        <w:rPr>
          <w:rStyle w:val="apple-converted-space"/>
          <w:color w:val="222222"/>
          <w:lang w:val="en-US"/>
        </w:rPr>
        <w:t> </w:t>
      </w:r>
      <w:hyperlink r:id="rId109" w:tooltip="Horsepower" w:history="1">
        <w:r w:rsidRPr="00C40532">
          <w:rPr>
            <w:rStyle w:val="a5"/>
            <w:color w:val="0B0080"/>
            <w:lang w:val="en-US"/>
          </w:rPr>
          <w:t>h.p.</w:t>
        </w:r>
      </w:hyperlink>
      <w:r w:rsidRPr="00C40532">
        <w:rPr>
          <w:rStyle w:val="apple-converted-space"/>
          <w:color w:val="222222"/>
          <w:lang w:val="en-US"/>
        </w:rPr>
        <w:t> </w:t>
      </w:r>
      <w:r w:rsidRPr="00C40532">
        <w:rPr>
          <w:color w:val="222222"/>
          <w:lang w:val="en-US"/>
        </w:rPr>
        <w:t xml:space="preserve">passenger car, 2400 roubles on 120 h.p., 12,000 roubles on 200 h.p. and 45,000 roubles </w:t>
      </w:r>
      <w:proofErr w:type="gramStart"/>
      <w:r w:rsidRPr="00C40532">
        <w:rPr>
          <w:color w:val="222222"/>
          <w:lang w:val="en-US"/>
        </w:rPr>
        <w:t>on 300 h.p</w:t>
      </w:r>
      <w:proofErr w:type="gramEnd"/>
      <w:r w:rsidRPr="00C40532">
        <w:rPr>
          <w:color w:val="222222"/>
          <w:lang w:val="en-US"/>
        </w:rPr>
        <w:t>.</w:t>
      </w:r>
      <w:r w:rsidR="00AA3725">
        <w:fldChar w:fldCharType="begin"/>
      </w:r>
      <w:r w:rsidR="00AA3725" w:rsidRPr="003E0431">
        <w:rPr>
          <w:lang w:val="en-US"/>
        </w:rPr>
        <w:instrText>HYPERLINK "https://en.wikipedia.org/wiki/Taxation_in_Russia" \l "cite_note-48"</w:instrText>
      </w:r>
      <w:r w:rsidR="00AA3725">
        <w:fldChar w:fldCharType="separate"/>
      </w:r>
      <w:r w:rsidRPr="00C40532">
        <w:rPr>
          <w:rStyle w:val="a5"/>
          <w:color w:val="0B0080"/>
          <w:vertAlign w:val="superscript"/>
          <w:lang w:val="en-US"/>
        </w:rPr>
        <w:t>[48</w:t>
      </w:r>
      <w:proofErr w:type="gramStart"/>
      <w:r w:rsidRPr="00C40532">
        <w:rPr>
          <w:rStyle w:val="a5"/>
          <w:color w:val="0B0080"/>
          <w:vertAlign w:val="superscript"/>
          <w:lang w:val="en-US"/>
        </w:rPr>
        <w:t>]</w:t>
      </w:r>
      <w:proofErr w:type="gramEnd"/>
      <w:r w:rsidR="00AA3725">
        <w:fldChar w:fldCharType="end"/>
      </w:r>
      <w:r w:rsidRPr="00C40532">
        <w:rPr>
          <w:color w:val="222222"/>
          <w:lang w:val="en-US"/>
        </w:rPr>
        <w:t>Taxation does not depend on</w:t>
      </w:r>
      <w:r w:rsidRPr="00C40532">
        <w:rPr>
          <w:rStyle w:val="apple-converted-space"/>
          <w:color w:val="222222"/>
          <w:lang w:val="en-US"/>
        </w:rPr>
        <w:t> </w:t>
      </w:r>
      <w:r w:rsidR="00AA3725">
        <w:fldChar w:fldCharType="begin"/>
      </w:r>
      <w:r w:rsidR="00AA3725" w:rsidRPr="003E0431">
        <w:rPr>
          <w:lang w:val="en-US"/>
        </w:rPr>
        <w:instrText>HYPERLINK "https://en.wikipedia.org/wiki/European_emission_standards" \o "European emission standards"</w:instrText>
      </w:r>
      <w:r w:rsidR="00AA3725">
        <w:fldChar w:fldCharType="separate"/>
      </w:r>
      <w:r w:rsidRPr="00C40532">
        <w:rPr>
          <w:rStyle w:val="a5"/>
          <w:color w:val="0B0080"/>
          <w:lang w:val="en-US"/>
        </w:rPr>
        <w:t>emission levels</w:t>
      </w:r>
      <w:r w:rsidR="00AA3725">
        <w:fldChar w:fldCharType="end"/>
      </w:r>
      <w:r w:rsidRPr="00C40532">
        <w:rPr>
          <w:color w:val="222222"/>
          <w:lang w:val="en-US"/>
        </w:rPr>
        <w:t>.</w:t>
      </w:r>
    </w:p>
    <w:p w:rsidR="00472A60" w:rsidRPr="00C40532" w:rsidRDefault="00AA3725" w:rsidP="00472A60">
      <w:pPr>
        <w:pStyle w:val="a6"/>
        <w:shd w:val="clear" w:color="auto" w:fill="FFFFFF"/>
        <w:spacing w:before="0" w:beforeAutospacing="0" w:after="0" w:afterAutospacing="0"/>
        <w:jc w:val="both"/>
        <w:rPr>
          <w:color w:val="222222"/>
          <w:lang w:val="en-US"/>
        </w:rPr>
      </w:pPr>
      <w:hyperlink r:id="rId110" w:tooltip="Gambling in Russia" w:history="1">
        <w:r w:rsidR="00472A60" w:rsidRPr="00C40532">
          <w:rPr>
            <w:rStyle w:val="a5"/>
            <w:color w:val="0B0080"/>
            <w:lang w:val="en-US"/>
          </w:rPr>
          <w:t>Tax on gambling businesses</w:t>
        </w:r>
      </w:hyperlink>
      <w:r w:rsidR="00472A60" w:rsidRPr="00C40532">
        <w:rPr>
          <w:rStyle w:val="apple-converted-space"/>
          <w:color w:val="222222"/>
          <w:lang w:val="en-US"/>
        </w:rPr>
        <w:t> </w:t>
      </w:r>
      <w:r w:rsidR="00472A60" w:rsidRPr="00C40532">
        <w:rPr>
          <w:color w:val="222222"/>
          <w:lang w:val="en-US"/>
        </w:rPr>
        <w:t>is paid by registered gambling outlets at a flat rate per each table,</w:t>
      </w:r>
      <w:r w:rsidR="00472A60" w:rsidRPr="00C40532">
        <w:rPr>
          <w:rStyle w:val="apple-converted-space"/>
          <w:color w:val="222222"/>
          <w:lang w:val="en-US"/>
        </w:rPr>
        <w:t> </w:t>
      </w:r>
      <w:r>
        <w:fldChar w:fldCharType="begin"/>
      </w:r>
      <w:r w:rsidRPr="003E0431">
        <w:rPr>
          <w:lang w:val="en-US"/>
        </w:rPr>
        <w:instrText>HYPERLINK "https://en.wikipedia.org/wiki/Slot_machine" \o "Slot machine"</w:instrText>
      </w:r>
      <w:r>
        <w:fldChar w:fldCharType="separate"/>
      </w:r>
      <w:r w:rsidR="00472A60" w:rsidRPr="00C40532">
        <w:rPr>
          <w:rStyle w:val="a5"/>
          <w:color w:val="0B0080"/>
          <w:lang w:val="en-US"/>
        </w:rPr>
        <w:t>slot machine</w:t>
      </w:r>
      <w:r>
        <w:fldChar w:fldCharType="end"/>
      </w:r>
      <w:r w:rsidR="00472A60" w:rsidRPr="00C40532">
        <w:rPr>
          <w:rStyle w:val="apple-converted-space"/>
          <w:color w:val="222222"/>
          <w:lang w:val="en-US"/>
        </w:rPr>
        <w:t> </w:t>
      </w:r>
      <w:r w:rsidR="00472A60" w:rsidRPr="00C40532">
        <w:rPr>
          <w:color w:val="222222"/>
          <w:lang w:val="en-US"/>
        </w:rPr>
        <w:t>or</w:t>
      </w:r>
      <w:r w:rsidR="00472A60" w:rsidRPr="00C40532">
        <w:rPr>
          <w:rStyle w:val="apple-converted-space"/>
          <w:color w:val="222222"/>
          <w:lang w:val="en-US"/>
        </w:rPr>
        <w:t> </w:t>
      </w:r>
      <w:r>
        <w:fldChar w:fldCharType="begin"/>
      </w:r>
      <w:r w:rsidRPr="003E0431">
        <w:rPr>
          <w:lang w:val="en-US"/>
        </w:rPr>
        <w:instrText>HYPERLINK "https://en.wikipedia.org/wiki/Bookmaker" \o "Bookmaker"</w:instrText>
      </w:r>
      <w:r>
        <w:fldChar w:fldCharType="separate"/>
      </w:r>
      <w:r w:rsidR="00472A60" w:rsidRPr="00C40532">
        <w:rPr>
          <w:rStyle w:val="a5"/>
          <w:color w:val="0B0080"/>
          <w:lang w:val="en-US"/>
        </w:rPr>
        <w:t>bookmaker</w:t>
      </w:r>
      <w:r>
        <w:fldChar w:fldCharType="end"/>
      </w:r>
      <w:r w:rsidR="00472A60" w:rsidRPr="00C40532">
        <w:rPr>
          <w:color w:val="222222"/>
          <w:lang w:val="en-US"/>
        </w:rPr>
        <w:t xml:space="preserve">'s cash desk. The Code provides both minimum and maximum rate limits (1:5 </w:t>
      </w:r>
      <w:proofErr w:type="gramStart"/>
      <w:r w:rsidR="00472A60" w:rsidRPr="00C40532">
        <w:rPr>
          <w:color w:val="222222"/>
          <w:lang w:val="en-US"/>
        </w:rPr>
        <w:t>ratio</w:t>
      </w:r>
      <w:proofErr w:type="gramEnd"/>
      <w:r w:rsidR="00472A60" w:rsidRPr="00C40532">
        <w:rPr>
          <w:color w:val="222222"/>
          <w:lang w:val="en-US"/>
        </w:rPr>
        <w:t>), thus prohibits establishment of tax-free gambling. For example, one slot machine is taxed at 1,500–7,500 roubles a year, and one table at 25,000–125,000 roubles a year. From July 1, 2009 gambling in Russia is banned, except in four specially designated gambling areas in remote regions.</w:t>
      </w:r>
      <w:r>
        <w:fldChar w:fldCharType="begin"/>
      </w:r>
      <w:r w:rsidRPr="003E0431">
        <w:rPr>
          <w:lang w:val="en-US"/>
        </w:rPr>
        <w:instrText>HYPERLINK "https://en.wikipedia.org/wiki/Taxation_in_Russia" \l "cite_note-49"</w:instrText>
      </w:r>
      <w:r>
        <w:fldChar w:fldCharType="separate"/>
      </w:r>
      <w:r w:rsidR="00472A60" w:rsidRPr="00C40532">
        <w:rPr>
          <w:rStyle w:val="a5"/>
          <w:color w:val="0B0080"/>
          <w:vertAlign w:val="superscript"/>
          <w:lang w:val="en-US"/>
        </w:rPr>
        <w:t>[49]</w:t>
      </w:r>
      <w:r>
        <w:fldChar w:fldCharType="end"/>
      </w:r>
      <w:r w:rsidR="00472A60" w:rsidRPr="00C40532">
        <w:rPr>
          <w:rStyle w:val="apple-converted-space"/>
          <w:color w:val="222222"/>
          <w:lang w:val="en-US"/>
        </w:rPr>
        <w:t> </w:t>
      </w:r>
      <w:r>
        <w:fldChar w:fldCharType="begin"/>
      </w:r>
      <w:r w:rsidRPr="003E0431">
        <w:rPr>
          <w:lang w:val="en-US"/>
        </w:rPr>
        <w:instrText>HYPERLINK "https://en.wikipedia.org/wiki/Online_gambling" \o "Online gambling"</w:instrText>
      </w:r>
      <w:r>
        <w:fldChar w:fldCharType="separate"/>
      </w:r>
      <w:r w:rsidR="00472A60" w:rsidRPr="00C40532">
        <w:rPr>
          <w:rStyle w:val="a5"/>
          <w:color w:val="0B0080"/>
          <w:lang w:val="en-US"/>
        </w:rPr>
        <w:t>Online gambling</w:t>
      </w:r>
      <w:r>
        <w:fldChar w:fldCharType="end"/>
      </w:r>
      <w:r w:rsidR="00472A60" w:rsidRPr="00C40532">
        <w:rPr>
          <w:rStyle w:val="apple-converted-space"/>
          <w:color w:val="222222"/>
          <w:lang w:val="en-US"/>
        </w:rPr>
        <w:t> </w:t>
      </w:r>
      <w:r w:rsidR="00472A60" w:rsidRPr="00C40532">
        <w:rPr>
          <w:color w:val="222222"/>
          <w:lang w:val="en-US"/>
        </w:rPr>
        <w:t>is banned.</w:t>
      </w:r>
    </w:p>
    <w:p w:rsidR="00472A60" w:rsidRPr="00C40532" w:rsidRDefault="00472A60" w:rsidP="00472A60">
      <w:pPr>
        <w:pStyle w:val="2"/>
        <w:pBdr>
          <w:bottom w:val="single" w:sz="6" w:space="0" w:color="A2A9B1"/>
        </w:pBdr>
        <w:shd w:val="clear" w:color="auto" w:fill="FFFFFF"/>
        <w:spacing w:before="0" w:beforeAutospacing="0" w:after="0" w:afterAutospacing="0"/>
        <w:jc w:val="both"/>
        <w:rPr>
          <w:b w:val="0"/>
          <w:bCs w:val="0"/>
          <w:color w:val="000000"/>
          <w:sz w:val="24"/>
          <w:szCs w:val="24"/>
          <w:lang w:val="en-US"/>
        </w:rPr>
      </w:pPr>
      <w:r w:rsidRPr="00C40532">
        <w:rPr>
          <w:rStyle w:val="mw-headline"/>
          <w:b w:val="0"/>
          <w:bCs w:val="0"/>
          <w:color w:val="000000"/>
          <w:sz w:val="24"/>
          <w:szCs w:val="24"/>
          <w:lang w:val="en-US"/>
        </w:rPr>
        <w:t xml:space="preserve">Special taxation </w:t>
      </w:r>
      <w:proofErr w:type="gramStart"/>
      <w:r w:rsidRPr="00C40532">
        <w:rPr>
          <w:rStyle w:val="mw-headline"/>
          <w:b w:val="0"/>
          <w:bCs w:val="0"/>
          <w:color w:val="000000"/>
          <w:sz w:val="24"/>
          <w:szCs w:val="24"/>
          <w:lang w:val="en-US"/>
        </w:rPr>
        <w:t>frameworks</w:t>
      </w:r>
      <w:r w:rsidRPr="00C40532">
        <w:rPr>
          <w:rStyle w:val="mw-editsection-bracket"/>
          <w:b w:val="0"/>
          <w:bCs w:val="0"/>
          <w:color w:val="555555"/>
          <w:sz w:val="24"/>
          <w:szCs w:val="24"/>
          <w:lang w:val="en-US"/>
        </w:rPr>
        <w:t>[</w:t>
      </w:r>
      <w:proofErr w:type="gramEnd"/>
      <w:r w:rsidR="00AA3725">
        <w:fldChar w:fldCharType="begin"/>
      </w:r>
      <w:r w:rsidR="00004B32" w:rsidRPr="008B4EEF">
        <w:rPr>
          <w:lang w:val="en-US"/>
        </w:rPr>
        <w:instrText>HYPERLINK "https://en.wikipedia.org/w/index.php?title=Taxation_in_Russia&amp;action=edit&amp;section=8" \o "Edit section: Special taxation frameworks"</w:instrText>
      </w:r>
      <w:r w:rsidR="00AA3725">
        <w:fldChar w:fldCharType="separate"/>
      </w:r>
      <w:r w:rsidRPr="00C40532">
        <w:rPr>
          <w:rStyle w:val="a5"/>
          <w:b w:val="0"/>
          <w:bCs w:val="0"/>
          <w:color w:val="0B0080"/>
          <w:sz w:val="24"/>
          <w:szCs w:val="24"/>
          <w:lang w:val="en-US"/>
        </w:rPr>
        <w:t>edit</w:t>
      </w:r>
      <w:r w:rsidR="00AA3725">
        <w:fldChar w:fldCharType="end"/>
      </w:r>
      <w:r w:rsidRPr="00C40532">
        <w:rPr>
          <w:rStyle w:val="mw-editsection-bracket"/>
          <w:b w:val="0"/>
          <w:bCs w:val="0"/>
          <w:color w:val="555555"/>
          <w:sz w:val="24"/>
          <w:szCs w:val="24"/>
          <w:lang w:val="en-US"/>
        </w:rPr>
        <w:t>]</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The set of specific federal and regional corporate taxes outlined above (i.e. regular CPT, VAT, UST and property tax), which by default is mandatory for all corporate taxpayers and registered individual entrepreneurs, is known as</w:t>
      </w:r>
      <w:r w:rsidRPr="00C40532">
        <w:rPr>
          <w:rStyle w:val="apple-converted-space"/>
          <w:color w:val="222222"/>
          <w:lang w:val="en-US"/>
        </w:rPr>
        <w:t> </w:t>
      </w:r>
      <w:r w:rsidRPr="00C40532">
        <w:rPr>
          <w:i/>
          <w:iCs/>
          <w:color w:val="222222"/>
          <w:lang w:val="en-US"/>
        </w:rPr>
        <w:t>General taxation system</w:t>
      </w:r>
      <w:r w:rsidRPr="00C40532">
        <w:rPr>
          <w:color w:val="222222"/>
          <w:lang w:val="en-US"/>
        </w:rPr>
        <w:t>. Three alternative tax systems replace the above taxes with a simplified procedure:</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b/>
          <w:bCs/>
          <w:color w:val="222222"/>
          <w:lang w:val="en-US"/>
        </w:rPr>
        <w:t>Imputed taxation</w:t>
      </w:r>
      <w:r w:rsidRPr="00C40532">
        <w:rPr>
          <w:rStyle w:val="apple-converted-space"/>
          <w:color w:val="222222"/>
          <w:lang w:val="en-US"/>
        </w:rPr>
        <w:t> </w:t>
      </w:r>
      <w:r w:rsidRPr="00C40532">
        <w:rPr>
          <w:color w:val="222222"/>
          <w:lang w:val="en-US"/>
        </w:rPr>
        <w:t xml:space="preserve">applies to specific, typically small business, activities involving trading with general public in cash: small retail and food service outlets, hotels, repair shops, taxi companies, etc. Imputed </w:t>
      </w:r>
      <w:proofErr w:type="gramStart"/>
      <w:r w:rsidRPr="00C40532">
        <w:rPr>
          <w:color w:val="222222"/>
          <w:lang w:val="en-US"/>
        </w:rPr>
        <w:t>tax,</w:t>
      </w:r>
      <w:proofErr w:type="gramEnd"/>
      <w:r w:rsidRPr="00C40532">
        <w:rPr>
          <w:color w:val="222222"/>
          <w:lang w:val="en-US"/>
        </w:rPr>
        <w:t xml:space="preserve"> uses rates set by local authorities (per</w:t>
      </w:r>
      <w:r w:rsidRPr="00C40532">
        <w:rPr>
          <w:rStyle w:val="apple-converted-space"/>
          <w:color w:val="222222"/>
          <w:lang w:val="en-US"/>
        </w:rPr>
        <w:t> </w:t>
      </w:r>
      <w:hyperlink r:id="rId111" w:tooltip="Square meter" w:history="1">
        <w:r w:rsidRPr="00C40532">
          <w:rPr>
            <w:rStyle w:val="a5"/>
            <w:color w:val="0B0080"/>
            <w:lang w:val="en-US"/>
          </w:rPr>
          <w:t>square meter</w:t>
        </w:r>
      </w:hyperlink>
      <w:r w:rsidRPr="00C40532">
        <w:rPr>
          <w:rStyle w:val="apple-converted-space"/>
          <w:color w:val="222222"/>
          <w:lang w:val="en-US"/>
        </w:rPr>
        <w:t> </w:t>
      </w:r>
      <w:r w:rsidRPr="00C40532">
        <w:rPr>
          <w:color w:val="222222"/>
          <w:lang w:val="en-US"/>
        </w:rPr>
        <w:t xml:space="preserve">of shop space, per vehicle etc.) All eligible businesses use imputed taxation. The law is also mandatory for eligible parts of larger corporations, even if they are individually insignificant. For example, a cafeteria of a large steel mill </w:t>
      </w:r>
      <w:r w:rsidRPr="00C40532">
        <w:rPr>
          <w:color w:val="222222"/>
          <w:lang w:val="en-US"/>
        </w:rPr>
        <w:lastRenderedPageBreak/>
        <w:t>is usually considered a subject of imputed tax and the mill must account for it as a separate taxable unit (the core business remains on terms of general taxation system).</w:t>
      </w:r>
    </w:p>
    <w:p w:rsidR="00472A60" w:rsidRPr="00C40532" w:rsidRDefault="00AA3725" w:rsidP="00472A60">
      <w:pPr>
        <w:pStyle w:val="a6"/>
        <w:shd w:val="clear" w:color="auto" w:fill="FFFFFF"/>
        <w:spacing w:before="0" w:beforeAutospacing="0" w:after="0" w:afterAutospacing="0"/>
        <w:jc w:val="both"/>
        <w:rPr>
          <w:color w:val="222222"/>
          <w:lang w:val="en-US"/>
        </w:rPr>
      </w:pPr>
      <w:r>
        <w:fldChar w:fldCharType="begin"/>
      </w:r>
      <w:r w:rsidRPr="003E0431">
        <w:rPr>
          <w:lang w:val="en-US"/>
        </w:rPr>
        <w:instrText>HYPERLINK "https://en.wikipedia.org/w/index.php?title=Simplified_taxation_system_in_Russia&amp;action=edit&amp;redlink=1" \o "Simplified taxation system in Russia (page does not exist)"</w:instrText>
      </w:r>
      <w:r>
        <w:fldChar w:fldCharType="separate"/>
      </w:r>
      <w:r w:rsidR="00472A60" w:rsidRPr="00C40532">
        <w:rPr>
          <w:rStyle w:val="a5"/>
          <w:b/>
          <w:bCs/>
          <w:color w:val="A55858"/>
          <w:lang w:val="en-US"/>
        </w:rPr>
        <w:t>Simplified taxation system</w:t>
      </w:r>
      <w:r>
        <w:fldChar w:fldCharType="end"/>
      </w:r>
      <w:r w:rsidR="00472A60" w:rsidRPr="00C40532">
        <w:rPr>
          <w:rStyle w:val="apple-converted-space"/>
          <w:color w:val="222222"/>
          <w:lang w:val="en-US"/>
        </w:rPr>
        <w:t> </w:t>
      </w:r>
      <w:r w:rsidR="00472A60" w:rsidRPr="00C40532">
        <w:rPr>
          <w:color w:val="222222"/>
          <w:lang w:val="en-US"/>
        </w:rPr>
        <w:t>applies to small businesses with annual sales less than 60,000,000 rubles. Banks, insurers, foreign companies and certain other professions and businesses are not eligible. The average number of employees in the firm should not exceed 100 during the year and total assets should not exceed 100,000,000 roubles to be eligible. Unified tax is levied either on gross receipts at 6 percent, or on profit before income tax at 15 percent; the choice of either option, is made by the taxpayer. Simplified system prescribes a specific set of accounting rules, thus</w:t>
      </w:r>
      <w:r w:rsidR="00472A60" w:rsidRPr="00C40532">
        <w:rPr>
          <w:rStyle w:val="apple-converted-space"/>
          <w:color w:val="222222"/>
          <w:lang w:val="en-US"/>
        </w:rPr>
        <w:t> </w:t>
      </w:r>
      <w:r w:rsidR="00472A60" w:rsidRPr="00C40532">
        <w:rPr>
          <w:i/>
          <w:iCs/>
          <w:color w:val="222222"/>
          <w:lang w:val="en-US"/>
        </w:rPr>
        <w:t>gross receipts</w:t>
      </w:r>
      <w:r w:rsidR="00472A60" w:rsidRPr="00C40532">
        <w:rPr>
          <w:rStyle w:val="apple-converted-space"/>
          <w:color w:val="222222"/>
          <w:lang w:val="en-US"/>
        </w:rPr>
        <w:t> </w:t>
      </w:r>
      <w:r w:rsidR="00472A60" w:rsidRPr="00C40532">
        <w:rPr>
          <w:color w:val="222222"/>
          <w:lang w:val="en-US"/>
        </w:rPr>
        <w:t>and</w:t>
      </w:r>
      <w:r w:rsidR="00472A60" w:rsidRPr="00C40532">
        <w:rPr>
          <w:rStyle w:val="apple-converted-space"/>
          <w:color w:val="222222"/>
          <w:lang w:val="en-US"/>
        </w:rPr>
        <w:t> </w:t>
      </w:r>
      <w:r w:rsidR="00472A60" w:rsidRPr="00C40532">
        <w:rPr>
          <w:i/>
          <w:iCs/>
          <w:color w:val="222222"/>
          <w:lang w:val="en-US"/>
        </w:rPr>
        <w:t>gross margins</w:t>
      </w:r>
      <w:r w:rsidR="00472A60" w:rsidRPr="00C40532">
        <w:rPr>
          <w:rStyle w:val="apple-converted-space"/>
          <w:color w:val="222222"/>
          <w:lang w:val="en-US"/>
        </w:rPr>
        <w:t> </w:t>
      </w:r>
      <w:r w:rsidR="00472A60" w:rsidRPr="00C40532">
        <w:rPr>
          <w:color w:val="222222"/>
          <w:lang w:val="en-US"/>
        </w:rPr>
        <w:t>of eligible businesses are, usually, higher than they would be under general accounting and taxation systems.</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An eligible business can elect either simplified or general taxation system at will with certain timing restrictions, which are usually once a year in December. If the business loses eligibility at any time during the year, it continues operating under simplified system until the end of the year, and then it must recalculate its tax obligations under general taxation system from the moment it became ineligible. The system does not allow taxpayers to pass prepaid input VAT to their customers; such customers who are VAT payers are unable to refund any VAT paid downstream. As a result, businesses engaged in</w:t>
      </w:r>
      <w:r w:rsidRPr="00C40532">
        <w:rPr>
          <w:rStyle w:val="apple-converted-space"/>
          <w:color w:val="222222"/>
          <w:lang w:val="en-US"/>
        </w:rPr>
        <w:t> </w:t>
      </w:r>
      <w:r w:rsidR="00AA3725">
        <w:fldChar w:fldCharType="begin"/>
      </w:r>
      <w:r w:rsidR="00AA3725" w:rsidRPr="003E0431">
        <w:rPr>
          <w:lang w:val="en-US"/>
        </w:rPr>
        <w:instrText>HYPERLINK "https://en.wikipedia.org/wiki/Business-to-business" \o "Business-to-business"</w:instrText>
      </w:r>
      <w:r w:rsidR="00AA3725">
        <w:fldChar w:fldCharType="separate"/>
      </w:r>
      <w:r w:rsidRPr="00C40532">
        <w:rPr>
          <w:rStyle w:val="a5"/>
          <w:color w:val="0B0080"/>
          <w:lang w:val="en-US"/>
        </w:rPr>
        <w:t>B2B</w:t>
      </w:r>
      <w:r w:rsidR="00AA3725">
        <w:fldChar w:fldCharType="end"/>
      </w:r>
      <w:r w:rsidRPr="00C40532">
        <w:rPr>
          <w:rStyle w:val="apple-converted-space"/>
          <w:color w:val="222222"/>
          <w:lang w:val="en-US"/>
        </w:rPr>
        <w:t> </w:t>
      </w:r>
      <w:r w:rsidRPr="00C40532">
        <w:rPr>
          <w:color w:val="222222"/>
          <w:lang w:val="en-US"/>
        </w:rPr>
        <w:t>transactions prefer general taxation.</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b/>
          <w:bCs/>
          <w:color w:val="222222"/>
          <w:lang w:val="en-US"/>
        </w:rPr>
        <w:t>Taxation system for agriculture</w:t>
      </w:r>
      <w:r w:rsidRPr="00C40532">
        <w:rPr>
          <w:rStyle w:val="apple-converted-space"/>
          <w:color w:val="222222"/>
          <w:lang w:val="en-US"/>
        </w:rPr>
        <w:t> </w:t>
      </w:r>
      <w:r w:rsidRPr="00C40532">
        <w:rPr>
          <w:color w:val="222222"/>
          <w:lang w:val="en-US"/>
        </w:rPr>
        <w:t>(including</w:t>
      </w:r>
      <w:r w:rsidRPr="00C40532">
        <w:rPr>
          <w:rStyle w:val="apple-converted-space"/>
          <w:color w:val="222222"/>
          <w:lang w:val="en-US"/>
        </w:rPr>
        <w:t> </w:t>
      </w:r>
      <w:r w:rsidR="00AA3725">
        <w:fldChar w:fldCharType="begin"/>
      </w:r>
      <w:r w:rsidR="00AA3725" w:rsidRPr="003E0431">
        <w:rPr>
          <w:lang w:val="en-US"/>
        </w:rPr>
        <w:instrText>HYPERLINK "https://en.wikipedia.org/wiki/Animal_husbandry" \o "Animal husbandry"</w:instrText>
      </w:r>
      <w:r w:rsidR="00AA3725">
        <w:fldChar w:fldCharType="separate"/>
      </w:r>
      <w:r w:rsidRPr="00C40532">
        <w:rPr>
          <w:rStyle w:val="a5"/>
          <w:color w:val="0B0080"/>
          <w:lang w:val="en-US"/>
        </w:rPr>
        <w:t>animal farms</w:t>
      </w:r>
      <w:r w:rsidR="00AA3725">
        <w:fldChar w:fldCharType="end"/>
      </w:r>
      <w:r w:rsidRPr="00C40532">
        <w:rPr>
          <w:rStyle w:val="apple-converted-space"/>
          <w:color w:val="222222"/>
          <w:lang w:val="en-US"/>
        </w:rPr>
        <w:t> </w:t>
      </w:r>
      <w:r w:rsidRPr="00C40532">
        <w:rPr>
          <w:color w:val="222222"/>
          <w:lang w:val="en-US"/>
        </w:rPr>
        <w:t>and</w:t>
      </w:r>
      <w:r w:rsidRPr="00C40532">
        <w:rPr>
          <w:rStyle w:val="apple-converted-space"/>
          <w:color w:val="222222"/>
          <w:lang w:val="en-US"/>
        </w:rPr>
        <w:t> </w:t>
      </w:r>
      <w:r w:rsidR="00AA3725">
        <w:fldChar w:fldCharType="begin"/>
      </w:r>
      <w:r w:rsidR="00AA3725" w:rsidRPr="003E0431">
        <w:rPr>
          <w:lang w:val="en-US"/>
        </w:rPr>
        <w:instrText>HYPERLINK "https://en.wikipedia.org/wiki/Fishery" \o "Fishery"</w:instrText>
      </w:r>
      <w:r w:rsidR="00AA3725">
        <w:fldChar w:fldCharType="separate"/>
      </w:r>
      <w:r w:rsidRPr="00C40532">
        <w:rPr>
          <w:rStyle w:val="a5"/>
          <w:color w:val="0B0080"/>
          <w:lang w:val="en-US"/>
        </w:rPr>
        <w:t>fisheries</w:t>
      </w:r>
      <w:r w:rsidR="00AA3725">
        <w:fldChar w:fldCharType="end"/>
      </w:r>
      <w:r w:rsidRPr="00C40532">
        <w:rPr>
          <w:color w:val="222222"/>
          <w:lang w:val="en-US"/>
        </w:rPr>
        <w:t>) uses a flat unified tax levied at 6 percent on gross margins, with its own unique set of accounting rules. There are no limitations on size of the business as long as at least 70 percent of its income is generated by sales of its farm produce.</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VAT exemptions outlined in special frameworks apply only to VAT on domestic sales. VAT on imports is payable by all importers regardless of their tax framework. Likewise, the insurance premiums payable to</w:t>
      </w:r>
      <w:r w:rsidRPr="00C40532">
        <w:rPr>
          <w:rStyle w:val="apple-converted-space"/>
          <w:color w:val="222222"/>
          <w:lang w:val="en-US"/>
        </w:rPr>
        <w:t> </w:t>
      </w:r>
      <w:r w:rsidR="00AA3725">
        <w:fldChar w:fldCharType="begin"/>
      </w:r>
      <w:r w:rsidR="00AA3725" w:rsidRPr="003E0431">
        <w:rPr>
          <w:lang w:val="en-US"/>
        </w:rPr>
        <w:instrText>HYPERLINK "https://en.wikipedia.org/w/index.php?title=Pension_Fund_of_Russia&amp;action=edit&amp;redlink=1" \o "Pension Fund of Russia (page does not exist)"</w:instrText>
      </w:r>
      <w:r w:rsidR="00AA3725">
        <w:fldChar w:fldCharType="separate"/>
      </w:r>
      <w:r w:rsidRPr="00C40532">
        <w:rPr>
          <w:rStyle w:val="a5"/>
          <w:color w:val="A55858"/>
          <w:lang w:val="en-US"/>
        </w:rPr>
        <w:t>Pension Fund of Russia</w:t>
      </w:r>
      <w:r w:rsidR="00AA3725">
        <w:fldChar w:fldCharType="end"/>
      </w:r>
      <w:r w:rsidRPr="00C40532">
        <w:rPr>
          <w:rStyle w:val="apple-converted-space"/>
          <w:color w:val="222222"/>
          <w:lang w:val="en-US"/>
        </w:rPr>
        <w:t> </w:t>
      </w:r>
      <w:r w:rsidRPr="00C40532">
        <w:rPr>
          <w:color w:val="222222"/>
          <w:lang w:val="en-US"/>
        </w:rPr>
        <w:t>are not considered part of UST and are payable by all employers.</w:t>
      </w:r>
    </w:p>
    <w:p w:rsidR="00472A60" w:rsidRPr="00C40532" w:rsidRDefault="00472A60" w:rsidP="00472A60">
      <w:pPr>
        <w:pStyle w:val="a6"/>
        <w:shd w:val="clear" w:color="auto" w:fill="FFFFFF"/>
        <w:spacing w:before="0" w:beforeAutospacing="0" w:after="0" w:afterAutospacing="0"/>
        <w:jc w:val="both"/>
        <w:rPr>
          <w:color w:val="222222"/>
          <w:lang w:val="en-US"/>
        </w:rPr>
      </w:pPr>
      <w:r w:rsidRPr="00C40532">
        <w:rPr>
          <w:color w:val="222222"/>
          <w:lang w:val="en-US"/>
        </w:rPr>
        <w:t>Finally, a Product-sharing agreement framework applies to a very limited list of joint state-private enterprises, typically in oil extraction.</w:t>
      </w:r>
    </w:p>
    <w:p w:rsidR="00472A60" w:rsidRPr="00C40532" w:rsidRDefault="00472A60" w:rsidP="00472A60">
      <w:pPr>
        <w:pStyle w:val="5"/>
        <w:shd w:val="clear" w:color="auto" w:fill="FFFFFF"/>
        <w:spacing w:before="0"/>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Taxes</w:t>
      </w:r>
    </w:p>
    <w:p w:rsidR="00472A60" w:rsidRPr="00C40532" w:rsidRDefault="00472A60" w:rsidP="00472A60">
      <w:pPr>
        <w:pStyle w:val="a6"/>
        <w:shd w:val="clear" w:color="auto" w:fill="FFFFFF"/>
        <w:spacing w:before="0" w:beforeAutospacing="0" w:after="0" w:afterAutospacing="0"/>
        <w:jc w:val="both"/>
        <w:rPr>
          <w:color w:val="5F5F5F"/>
          <w:lang w:val="en-US"/>
        </w:rPr>
      </w:pPr>
      <w:r w:rsidRPr="00C40532">
        <w:rPr>
          <w:color w:val="5F5F5F"/>
          <w:lang w:val="en-US"/>
        </w:rPr>
        <w:t>Russian taxes on usual corporations may be grouped as follows:</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b/>
          <w:bCs/>
          <w:color w:val="5F5F5F"/>
          <w:sz w:val="24"/>
          <w:szCs w:val="24"/>
          <w:shd w:val="clear" w:color="auto" w:fill="FFFFFF"/>
          <w:lang w:val="en-US"/>
        </w:rPr>
        <w:t>1.</w:t>
      </w:r>
      <w:r w:rsidRPr="00C40532">
        <w:rPr>
          <w:rStyle w:val="apple-converted-space"/>
          <w:rFonts w:ascii="Times New Roman" w:hAnsi="Times New Roman" w:cs="Times New Roman"/>
          <w:color w:val="5F5F5F"/>
          <w:sz w:val="24"/>
          <w:szCs w:val="24"/>
          <w:shd w:val="clear" w:color="auto" w:fill="FFFFFF"/>
          <w:lang w:val="en-US"/>
        </w:rPr>
        <w:t> </w:t>
      </w:r>
      <w:r w:rsidRPr="00C40532">
        <w:rPr>
          <w:rFonts w:ascii="Times New Roman" w:hAnsi="Times New Roman" w:cs="Times New Roman"/>
          <w:color w:val="5F5F5F"/>
          <w:sz w:val="24"/>
          <w:szCs w:val="24"/>
          <w:shd w:val="clear" w:color="auto" w:fill="FFFFFF"/>
          <w:lang w:val="en-US"/>
        </w:rPr>
        <w:t>Income taxes Corporate Income tax - 20%</w:t>
      </w:r>
      <w:r w:rsidRPr="00C40532">
        <w:rPr>
          <w:rStyle w:val="apple-converted-space"/>
          <w:rFonts w:ascii="Times New Roman" w:hAnsi="Times New Roman" w:cs="Times New Roman"/>
          <w:color w:val="5F5F5F"/>
          <w:sz w:val="24"/>
          <w:szCs w:val="24"/>
          <w:shd w:val="clear" w:color="auto" w:fill="FFFFFF"/>
          <w:lang w:val="en-US"/>
        </w:rPr>
        <w:t> </w:t>
      </w:r>
      <w:r w:rsidRPr="00C40532">
        <w:rPr>
          <w:rFonts w:ascii="Times New Roman" w:hAnsi="Times New Roman" w:cs="Times New Roman"/>
          <w:color w:val="5F5F5F"/>
          <w:sz w:val="24"/>
          <w:szCs w:val="24"/>
          <w:lang w:val="en-US"/>
        </w:rPr>
        <w:br/>
      </w:r>
    </w:p>
    <w:tbl>
      <w:tblPr>
        <w:tblW w:w="5000" w:type="pct"/>
        <w:tblCellSpacing w:w="0" w:type="dxa"/>
        <w:shd w:val="clear" w:color="auto" w:fill="FFFFFF"/>
        <w:tblCellMar>
          <w:left w:w="0" w:type="dxa"/>
          <w:right w:w="0" w:type="dxa"/>
        </w:tblCellMar>
        <w:tblLook w:val="04A0"/>
      </w:tblPr>
      <w:tblGrid>
        <w:gridCol w:w="150"/>
        <w:gridCol w:w="218"/>
        <w:gridCol w:w="9320"/>
      </w:tblGrid>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Withholding Corporate Income tax on Russian source passive income of foreign legal entities</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26" type="#_x0000_t75" alt="" style="width:6.8pt;height:1.35pt"/>
              </w:pict>
            </w:r>
          </w:p>
        </w:tc>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27"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(interest, dividend, rent, royalty and similar) - from 9% to 20%</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28"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br/>
              <w:t>Withholding tax on dividends paid to Russian legal entities - 9%</w:t>
            </w:r>
          </w:p>
        </w:tc>
      </w:tr>
    </w:tbl>
    <w:p w:rsidR="00472A60" w:rsidRPr="00C40532" w:rsidRDefault="00472A60" w:rsidP="00472A60">
      <w:pPr>
        <w:pStyle w:val="a6"/>
        <w:shd w:val="clear" w:color="auto" w:fill="FFFFFF"/>
        <w:spacing w:before="0" w:beforeAutospacing="0" w:after="0" w:afterAutospacing="0"/>
        <w:jc w:val="both"/>
        <w:rPr>
          <w:color w:val="5F5F5F"/>
          <w:lang w:val="en-US"/>
        </w:rPr>
      </w:pPr>
      <w:r w:rsidRPr="00C40532">
        <w:rPr>
          <w:color w:val="5F5F5F"/>
          <w:lang w:val="en-US"/>
        </w:rPr>
        <w:t>Please refer to</w:t>
      </w:r>
      <w:r w:rsidRPr="00C40532">
        <w:rPr>
          <w:rStyle w:val="apple-converted-space"/>
          <w:color w:val="5F5F5F"/>
          <w:lang w:val="en-US"/>
        </w:rPr>
        <w:t> </w:t>
      </w:r>
      <w:r w:rsidR="00AA3725">
        <w:fldChar w:fldCharType="begin"/>
      </w:r>
      <w:r w:rsidR="00AA3725" w:rsidRPr="003E0431">
        <w:rPr>
          <w:lang w:val="en-US"/>
        </w:rPr>
        <w:instrText>HYPERLINK "http://www.vfbs.ru/startup/brief_tax.html"</w:instrText>
      </w:r>
      <w:r w:rsidR="00AA3725">
        <w:fldChar w:fldCharType="separate"/>
      </w:r>
      <w:r w:rsidRPr="00C40532">
        <w:rPr>
          <w:rStyle w:val="a5"/>
          <w:b/>
          <w:bCs/>
          <w:color w:val="5F5F5F"/>
          <w:lang w:val="en-US"/>
        </w:rPr>
        <w:t>Corporate Income Tax</w:t>
      </w:r>
      <w:r w:rsidR="00AA3725">
        <w:fldChar w:fldCharType="end"/>
      </w:r>
      <w:r w:rsidRPr="00C40532">
        <w:rPr>
          <w:rStyle w:val="apple-converted-space"/>
          <w:color w:val="5F5F5F"/>
          <w:lang w:val="en-US"/>
        </w:rPr>
        <w:t> </w:t>
      </w:r>
      <w:r w:rsidRPr="00C40532">
        <w:rPr>
          <w:color w:val="5F5F5F"/>
          <w:lang w:val="en-US"/>
        </w:rPr>
        <w:t>and</w:t>
      </w:r>
      <w:r w:rsidRPr="00C40532">
        <w:rPr>
          <w:rStyle w:val="apple-converted-space"/>
          <w:color w:val="5F5F5F"/>
          <w:lang w:val="en-US"/>
        </w:rPr>
        <w:t> </w:t>
      </w:r>
      <w:r w:rsidR="00AA3725">
        <w:fldChar w:fldCharType="begin"/>
      </w:r>
      <w:r w:rsidR="00AA3725" w:rsidRPr="003E0431">
        <w:rPr>
          <w:lang w:val="en-US"/>
        </w:rPr>
        <w:instrText>HYPERLINK "http://www.vfbs.ru/startup/brief_tax.html"</w:instrText>
      </w:r>
      <w:r w:rsidR="00AA3725">
        <w:fldChar w:fldCharType="separate"/>
      </w:r>
      <w:r w:rsidRPr="00C40532">
        <w:rPr>
          <w:rStyle w:val="a5"/>
          <w:b/>
          <w:bCs/>
          <w:color w:val="5F5F5F"/>
          <w:lang w:val="en-US"/>
        </w:rPr>
        <w:t>Withholding Tax and Tax Agent Obligations</w:t>
      </w:r>
      <w:r w:rsidR="00AA3725">
        <w:fldChar w:fldCharType="end"/>
      </w:r>
      <w:r w:rsidRPr="00C40532">
        <w:rPr>
          <w:rStyle w:val="apple-converted-space"/>
          <w:color w:val="5F5F5F"/>
          <w:lang w:val="en-US"/>
        </w:rPr>
        <w:t> </w:t>
      </w:r>
      <w:r w:rsidRPr="00C40532">
        <w:rPr>
          <w:color w:val="5F5F5F"/>
          <w:lang w:val="en-US"/>
        </w:rPr>
        <w:t>for more details.</w:t>
      </w:r>
    </w:p>
    <w:p w:rsidR="00472A60" w:rsidRPr="00C40532" w:rsidRDefault="00472A60" w:rsidP="00472A60">
      <w:pPr>
        <w:spacing w:after="0" w:line="240" w:lineRule="auto"/>
        <w:jc w:val="both"/>
        <w:rPr>
          <w:rFonts w:ascii="Times New Roman" w:hAnsi="Times New Roman" w:cs="Times New Roman"/>
          <w:sz w:val="24"/>
          <w:szCs w:val="24"/>
        </w:rPr>
      </w:pPr>
      <w:r w:rsidRPr="00C40532">
        <w:rPr>
          <w:rFonts w:ascii="Times New Roman" w:hAnsi="Times New Roman" w:cs="Times New Roman"/>
          <w:b/>
          <w:bCs/>
          <w:color w:val="5F5F5F"/>
          <w:sz w:val="24"/>
          <w:szCs w:val="24"/>
          <w:shd w:val="clear" w:color="auto" w:fill="FFFFFF"/>
        </w:rPr>
        <w:t>2.</w:t>
      </w:r>
      <w:r w:rsidRPr="00C40532">
        <w:rPr>
          <w:rStyle w:val="apple-converted-space"/>
          <w:rFonts w:ascii="Times New Roman" w:hAnsi="Times New Roman" w:cs="Times New Roman"/>
          <w:color w:val="5F5F5F"/>
          <w:sz w:val="24"/>
          <w:szCs w:val="24"/>
          <w:shd w:val="clear" w:color="auto" w:fill="FFFFFF"/>
        </w:rPr>
        <w:t> </w:t>
      </w:r>
      <w:r w:rsidRPr="00C40532">
        <w:rPr>
          <w:rFonts w:ascii="Times New Roman" w:hAnsi="Times New Roman" w:cs="Times New Roman"/>
          <w:color w:val="5F5F5F"/>
          <w:sz w:val="24"/>
          <w:szCs w:val="24"/>
          <w:shd w:val="clear" w:color="auto" w:fill="FFFFFF"/>
        </w:rPr>
        <w:t>Indirect taxes</w:t>
      </w:r>
      <w:r w:rsidRPr="00C40532">
        <w:rPr>
          <w:rStyle w:val="apple-converted-space"/>
          <w:rFonts w:ascii="Times New Roman" w:hAnsi="Times New Roman" w:cs="Times New Roman"/>
          <w:color w:val="5F5F5F"/>
          <w:sz w:val="24"/>
          <w:szCs w:val="24"/>
          <w:shd w:val="clear" w:color="auto" w:fill="FFFFFF"/>
        </w:rPr>
        <w:t> </w:t>
      </w:r>
      <w:r w:rsidRPr="00C40532">
        <w:rPr>
          <w:rFonts w:ascii="Times New Roman" w:hAnsi="Times New Roman" w:cs="Times New Roman"/>
          <w:color w:val="5F5F5F"/>
          <w:sz w:val="24"/>
          <w:szCs w:val="24"/>
        </w:rPr>
        <w:br/>
      </w:r>
    </w:p>
    <w:tbl>
      <w:tblPr>
        <w:tblW w:w="5000" w:type="pct"/>
        <w:tblCellSpacing w:w="0" w:type="dxa"/>
        <w:shd w:val="clear" w:color="auto" w:fill="FFFFFF"/>
        <w:tblCellMar>
          <w:left w:w="0" w:type="dxa"/>
          <w:right w:w="0" w:type="dxa"/>
        </w:tblCellMar>
        <w:tblLook w:val="04A0"/>
      </w:tblPr>
      <w:tblGrid>
        <w:gridCol w:w="150"/>
        <w:gridCol w:w="485"/>
        <w:gridCol w:w="9053"/>
      </w:tblGrid>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29"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Value-Added Tax (VAT) -10% on the value of socially important goods and 18% on the value</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0" type="#_x0000_t75" alt="" style="width:6.8pt;height:1.35pt"/>
              </w:pict>
            </w:r>
          </w:p>
        </w:tc>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1"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proofErr w:type="gramStart"/>
            <w:r w:rsidRPr="00C40532">
              <w:rPr>
                <w:rFonts w:ascii="Times New Roman" w:hAnsi="Times New Roman" w:cs="Times New Roman"/>
                <w:color w:val="5F5F5F"/>
                <w:sz w:val="24"/>
                <w:szCs w:val="24"/>
                <w:lang w:val="en-US"/>
              </w:rPr>
              <w:t>of</w:t>
            </w:r>
            <w:proofErr w:type="gramEnd"/>
            <w:r w:rsidRPr="00C40532">
              <w:rPr>
                <w:rFonts w:ascii="Times New Roman" w:hAnsi="Times New Roman" w:cs="Times New Roman"/>
                <w:color w:val="5F5F5F"/>
                <w:sz w:val="24"/>
                <w:szCs w:val="24"/>
                <w:lang w:val="en-US"/>
              </w:rPr>
              <w:t xml:space="preserve"> most goods and services.</w:t>
            </w:r>
          </w:p>
        </w:tc>
      </w:tr>
    </w:tbl>
    <w:p w:rsidR="00472A60" w:rsidRPr="00C40532" w:rsidRDefault="00472A60" w:rsidP="00472A60">
      <w:pPr>
        <w:pStyle w:val="a6"/>
        <w:shd w:val="clear" w:color="auto" w:fill="FFFFFF"/>
        <w:spacing w:before="0" w:beforeAutospacing="0" w:after="0" w:afterAutospacing="0"/>
        <w:jc w:val="both"/>
        <w:rPr>
          <w:color w:val="5F5F5F"/>
          <w:lang w:val="en-US"/>
        </w:rPr>
      </w:pPr>
      <w:r w:rsidRPr="00C40532">
        <w:rPr>
          <w:color w:val="5F5F5F"/>
          <w:lang w:val="en-US"/>
        </w:rPr>
        <w:t>Please refer to</w:t>
      </w:r>
      <w:r w:rsidRPr="00C40532">
        <w:rPr>
          <w:rStyle w:val="apple-converted-space"/>
          <w:color w:val="5F5F5F"/>
          <w:lang w:val="en-US"/>
        </w:rPr>
        <w:t> </w:t>
      </w:r>
      <w:r w:rsidR="00AA3725">
        <w:fldChar w:fldCharType="begin"/>
      </w:r>
      <w:r w:rsidR="00AA3725" w:rsidRPr="003E0431">
        <w:rPr>
          <w:lang w:val="en-US"/>
        </w:rPr>
        <w:instrText>HYPERLINK "http://www.vfbs.ru/startup/brief_tax.html"</w:instrText>
      </w:r>
      <w:r w:rsidR="00AA3725">
        <w:fldChar w:fldCharType="separate"/>
      </w:r>
      <w:r w:rsidRPr="00C40532">
        <w:rPr>
          <w:rStyle w:val="a5"/>
          <w:b/>
          <w:bCs/>
          <w:color w:val="5F5F5F"/>
          <w:lang w:val="en-US"/>
        </w:rPr>
        <w:t>VAT</w:t>
      </w:r>
      <w:r w:rsidR="00AA3725">
        <w:fldChar w:fldCharType="end"/>
      </w:r>
      <w:r w:rsidRPr="00C40532">
        <w:rPr>
          <w:rStyle w:val="apple-converted-space"/>
          <w:color w:val="5F5F5F"/>
          <w:lang w:val="en-US"/>
        </w:rPr>
        <w:t> </w:t>
      </w:r>
      <w:r w:rsidRPr="00C40532">
        <w:rPr>
          <w:color w:val="5F5F5F"/>
          <w:lang w:val="en-US"/>
        </w:rPr>
        <w:t>for more details.</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b/>
          <w:bCs/>
          <w:color w:val="5F5F5F"/>
          <w:sz w:val="24"/>
          <w:szCs w:val="24"/>
          <w:shd w:val="clear" w:color="auto" w:fill="FFFFFF"/>
          <w:lang w:val="en-US"/>
        </w:rPr>
        <w:t>3.</w:t>
      </w:r>
      <w:r w:rsidRPr="00C40532">
        <w:rPr>
          <w:rStyle w:val="apple-converted-space"/>
          <w:rFonts w:ascii="Times New Roman" w:hAnsi="Times New Roman" w:cs="Times New Roman"/>
          <w:color w:val="5F5F5F"/>
          <w:sz w:val="24"/>
          <w:szCs w:val="24"/>
          <w:shd w:val="clear" w:color="auto" w:fill="FFFFFF"/>
          <w:lang w:val="en-US"/>
        </w:rPr>
        <w:t> </w:t>
      </w:r>
      <w:r w:rsidRPr="00C40532">
        <w:rPr>
          <w:rFonts w:ascii="Times New Roman" w:hAnsi="Times New Roman" w:cs="Times New Roman"/>
          <w:color w:val="5F5F5F"/>
          <w:sz w:val="24"/>
          <w:szCs w:val="24"/>
          <w:shd w:val="clear" w:color="auto" w:fill="FFFFFF"/>
          <w:lang w:val="en-US"/>
        </w:rPr>
        <w:t>Payroll taxes</w:t>
      </w:r>
      <w:r w:rsidRPr="00C40532">
        <w:rPr>
          <w:rFonts w:ascii="Times New Roman" w:hAnsi="Times New Roman" w:cs="Times New Roman"/>
          <w:color w:val="5F5F5F"/>
          <w:sz w:val="24"/>
          <w:szCs w:val="24"/>
          <w:lang w:val="en-US"/>
        </w:rPr>
        <w:br/>
      </w:r>
      <w:r w:rsidRPr="00C40532">
        <w:rPr>
          <w:rFonts w:ascii="Times New Roman" w:hAnsi="Times New Roman" w:cs="Times New Roman"/>
          <w:color w:val="5F5F5F"/>
          <w:sz w:val="24"/>
          <w:szCs w:val="24"/>
          <w:lang w:val="en-US"/>
        </w:rPr>
        <w:br/>
      </w:r>
      <w:r w:rsidRPr="00C40532">
        <w:rPr>
          <w:rFonts w:ascii="Times New Roman" w:hAnsi="Times New Roman" w:cs="Times New Roman"/>
          <w:color w:val="5F5F5F"/>
          <w:sz w:val="24"/>
          <w:szCs w:val="24"/>
          <w:shd w:val="clear" w:color="auto" w:fill="FFFFFF"/>
          <w:lang w:val="en-US"/>
        </w:rPr>
        <w:t>Payroll taxes are paid by employers only and comprised of contributions from cumulated gross annual income of Russian and foreign nationals citizens( except for foreign nationals working in Russia for less than 6 months or keeping Highly Qualified Specialist work permit):</w:t>
      </w:r>
    </w:p>
    <w:p w:rsidR="00472A60" w:rsidRPr="00C40532" w:rsidRDefault="00472A60" w:rsidP="00472A60">
      <w:pPr>
        <w:pStyle w:val="a6"/>
        <w:shd w:val="clear" w:color="auto" w:fill="FFFFFF"/>
        <w:spacing w:before="0" w:beforeAutospacing="0" w:after="0" w:afterAutospacing="0"/>
        <w:jc w:val="both"/>
        <w:rPr>
          <w:color w:val="5F5F5F"/>
          <w:lang w:val="en-US"/>
        </w:rPr>
      </w:pPr>
      <w:r w:rsidRPr="00C40532">
        <w:rPr>
          <w:color w:val="5F5F5F"/>
          <w:lang w:val="en-US"/>
        </w:rPr>
        <w:t>On gross incomes up to 512 000 rubles a year:</w:t>
      </w:r>
    </w:p>
    <w:p w:rsidR="00472A60" w:rsidRPr="00C40532" w:rsidRDefault="00472A60" w:rsidP="00472A60">
      <w:pPr>
        <w:numPr>
          <w:ilvl w:val="0"/>
          <w:numId w:val="32"/>
        </w:numPr>
        <w:shd w:val="clear" w:color="auto" w:fill="FFFFFF"/>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Pension Fund of the Russian Federation – 22%</w:t>
      </w:r>
    </w:p>
    <w:p w:rsidR="00472A60" w:rsidRPr="00C40532" w:rsidRDefault="00472A60" w:rsidP="00472A60">
      <w:pPr>
        <w:numPr>
          <w:ilvl w:val="0"/>
          <w:numId w:val="32"/>
        </w:numPr>
        <w:shd w:val="clear" w:color="auto" w:fill="FFFFFF"/>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lastRenderedPageBreak/>
        <w:t>Medical Fund of the Russian Federation – 5.1%</w:t>
      </w:r>
    </w:p>
    <w:p w:rsidR="00472A60" w:rsidRPr="00C40532" w:rsidRDefault="00472A60" w:rsidP="00472A60">
      <w:pPr>
        <w:numPr>
          <w:ilvl w:val="0"/>
          <w:numId w:val="32"/>
        </w:numPr>
        <w:shd w:val="clear" w:color="auto" w:fill="FFFFFF"/>
        <w:spacing w:after="0" w:line="240" w:lineRule="auto"/>
        <w:jc w:val="both"/>
        <w:rPr>
          <w:rFonts w:ascii="Times New Roman" w:hAnsi="Times New Roman" w:cs="Times New Roman"/>
          <w:color w:val="5F5F5F"/>
          <w:sz w:val="24"/>
          <w:szCs w:val="24"/>
        </w:rPr>
      </w:pPr>
      <w:r w:rsidRPr="00C40532">
        <w:rPr>
          <w:rFonts w:ascii="Times New Roman" w:hAnsi="Times New Roman" w:cs="Times New Roman"/>
          <w:color w:val="5F5F5F"/>
          <w:sz w:val="24"/>
          <w:szCs w:val="24"/>
        </w:rPr>
        <w:t>Social Insurance Fund – 2.9%</w:t>
      </w:r>
    </w:p>
    <w:p w:rsidR="00472A60" w:rsidRPr="00C40532" w:rsidRDefault="00472A60" w:rsidP="00472A60">
      <w:pPr>
        <w:numPr>
          <w:ilvl w:val="0"/>
          <w:numId w:val="32"/>
        </w:numPr>
        <w:shd w:val="clear" w:color="auto" w:fill="FFFFFF"/>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and Insurance against industrial accidents and deaths in the workplace / industrial fatalities - from</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color w:val="5F5F5F"/>
          <w:sz w:val="24"/>
          <w:szCs w:val="24"/>
          <w:shd w:val="clear" w:color="auto" w:fill="FFFFFF"/>
          <w:lang w:val="en-US"/>
        </w:rPr>
        <w:t>0.2% to 8.5% (depending on industry</w:t>
      </w:r>
      <w:proofErr w:type="gramStart"/>
      <w:r w:rsidRPr="00C40532">
        <w:rPr>
          <w:rFonts w:ascii="Times New Roman" w:hAnsi="Times New Roman" w:cs="Times New Roman"/>
          <w:color w:val="5F5F5F"/>
          <w:sz w:val="24"/>
          <w:szCs w:val="24"/>
          <w:shd w:val="clear" w:color="auto" w:fill="FFFFFF"/>
          <w:lang w:val="en-US"/>
        </w:rPr>
        <w:t>)</w:t>
      </w:r>
      <w:proofErr w:type="gramEnd"/>
      <w:r w:rsidRPr="00C40532">
        <w:rPr>
          <w:rFonts w:ascii="Times New Roman" w:hAnsi="Times New Roman" w:cs="Times New Roman"/>
          <w:color w:val="5F5F5F"/>
          <w:sz w:val="24"/>
          <w:szCs w:val="24"/>
          <w:lang w:val="en-US"/>
        </w:rPr>
        <w:br/>
      </w:r>
      <w:r w:rsidRPr="00C40532">
        <w:rPr>
          <w:rFonts w:ascii="Times New Roman" w:hAnsi="Times New Roman" w:cs="Times New Roman"/>
          <w:color w:val="5F5F5F"/>
          <w:sz w:val="24"/>
          <w:szCs w:val="24"/>
          <w:lang w:val="en-US"/>
        </w:rPr>
        <w:br/>
      </w:r>
      <w:r w:rsidRPr="00C40532">
        <w:rPr>
          <w:rFonts w:ascii="Times New Roman" w:hAnsi="Times New Roman" w:cs="Times New Roman"/>
          <w:color w:val="5F5F5F"/>
          <w:sz w:val="24"/>
          <w:szCs w:val="24"/>
          <w:shd w:val="clear" w:color="auto" w:fill="FFFFFF"/>
          <w:lang w:val="en-US"/>
        </w:rPr>
        <w:t>On gross income from 512 rubles a year</w:t>
      </w:r>
      <w:r w:rsidRPr="00C40532">
        <w:rPr>
          <w:rFonts w:ascii="Times New Roman" w:hAnsi="Times New Roman" w:cs="Times New Roman"/>
          <w:color w:val="5F5F5F"/>
          <w:sz w:val="24"/>
          <w:szCs w:val="24"/>
          <w:lang w:val="en-US"/>
        </w:rPr>
        <w:br/>
      </w:r>
    </w:p>
    <w:p w:rsidR="00472A60" w:rsidRPr="00C40532" w:rsidRDefault="00472A60" w:rsidP="00472A60">
      <w:pPr>
        <w:numPr>
          <w:ilvl w:val="0"/>
          <w:numId w:val="33"/>
        </w:numPr>
        <w:shd w:val="clear" w:color="auto" w:fill="FFFFFF"/>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Pension Fund of the Russian Federation – 10%</w:t>
      </w:r>
    </w:p>
    <w:p w:rsidR="00472A60" w:rsidRPr="00C40532" w:rsidRDefault="00472A60" w:rsidP="00472A60">
      <w:pPr>
        <w:numPr>
          <w:ilvl w:val="0"/>
          <w:numId w:val="33"/>
        </w:numPr>
        <w:shd w:val="clear" w:color="auto" w:fill="FFFFFF"/>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Insurance against industrial accidents and deaths in the workplace / industrial fatalities – from 0.2- 8.5% (depending on industry)</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color w:val="5F5F5F"/>
          <w:sz w:val="24"/>
          <w:szCs w:val="24"/>
          <w:shd w:val="clear" w:color="auto" w:fill="FFFFFF"/>
          <w:lang w:val="en-US"/>
        </w:rPr>
        <w:t>Total amount of contributions payable by agricultural and small business engaged in production and socially important areas of business varies from 14% to 26%.</w:t>
      </w:r>
      <w:r w:rsidRPr="00C40532">
        <w:rPr>
          <w:rStyle w:val="apple-converted-space"/>
          <w:rFonts w:ascii="Times New Roman" w:hAnsi="Times New Roman" w:cs="Times New Roman"/>
          <w:color w:val="5F5F5F"/>
          <w:sz w:val="24"/>
          <w:szCs w:val="24"/>
          <w:shd w:val="clear" w:color="auto" w:fill="FFFFFF"/>
          <w:lang w:val="en-US"/>
        </w:rPr>
        <w:t> </w:t>
      </w:r>
      <w:r w:rsidRPr="00C40532">
        <w:rPr>
          <w:rFonts w:ascii="Times New Roman" w:hAnsi="Times New Roman" w:cs="Times New Roman"/>
          <w:color w:val="5F5F5F"/>
          <w:sz w:val="24"/>
          <w:szCs w:val="24"/>
          <w:lang w:val="en-US"/>
        </w:rPr>
        <w:br/>
      </w:r>
      <w:r w:rsidRPr="00C40532">
        <w:rPr>
          <w:rFonts w:ascii="Times New Roman" w:hAnsi="Times New Roman" w:cs="Times New Roman"/>
          <w:color w:val="5F5F5F"/>
          <w:sz w:val="24"/>
          <w:szCs w:val="24"/>
          <w:lang w:val="en-US"/>
        </w:rPr>
        <w:br/>
      </w:r>
      <w:r w:rsidRPr="00C40532">
        <w:rPr>
          <w:rFonts w:ascii="Times New Roman" w:hAnsi="Times New Roman" w:cs="Times New Roman"/>
          <w:b/>
          <w:bCs/>
          <w:color w:val="5F5F5F"/>
          <w:sz w:val="24"/>
          <w:szCs w:val="24"/>
          <w:shd w:val="clear" w:color="auto" w:fill="FFFFFF"/>
          <w:lang w:val="en-US"/>
        </w:rPr>
        <w:t>4.</w:t>
      </w:r>
      <w:r w:rsidRPr="00C40532">
        <w:rPr>
          <w:rStyle w:val="apple-converted-space"/>
          <w:rFonts w:ascii="Times New Roman" w:hAnsi="Times New Roman" w:cs="Times New Roman"/>
          <w:color w:val="5F5F5F"/>
          <w:sz w:val="24"/>
          <w:szCs w:val="24"/>
          <w:shd w:val="clear" w:color="auto" w:fill="FFFFFF"/>
          <w:lang w:val="en-US"/>
        </w:rPr>
        <w:t> </w:t>
      </w:r>
      <w:r w:rsidRPr="00C40532">
        <w:rPr>
          <w:rFonts w:ascii="Times New Roman" w:hAnsi="Times New Roman" w:cs="Times New Roman"/>
          <w:color w:val="5F5F5F"/>
          <w:sz w:val="24"/>
          <w:szCs w:val="24"/>
          <w:shd w:val="clear" w:color="auto" w:fill="FFFFFF"/>
          <w:lang w:val="en-US"/>
        </w:rPr>
        <w:t>Property Taxes</w:t>
      </w:r>
      <w:r w:rsidRPr="00C40532">
        <w:rPr>
          <w:rStyle w:val="apple-converted-space"/>
          <w:rFonts w:ascii="Times New Roman" w:hAnsi="Times New Roman" w:cs="Times New Roman"/>
          <w:color w:val="5F5F5F"/>
          <w:sz w:val="24"/>
          <w:szCs w:val="24"/>
          <w:shd w:val="clear" w:color="auto" w:fill="FFFFFF"/>
          <w:lang w:val="en-US"/>
        </w:rPr>
        <w:t> </w:t>
      </w:r>
      <w:r w:rsidRPr="00C40532">
        <w:rPr>
          <w:rFonts w:ascii="Times New Roman" w:hAnsi="Times New Roman" w:cs="Times New Roman"/>
          <w:color w:val="5F5F5F"/>
          <w:sz w:val="24"/>
          <w:szCs w:val="24"/>
          <w:lang w:val="en-US"/>
        </w:rPr>
        <w:br/>
      </w:r>
    </w:p>
    <w:p w:rsidR="00472A60" w:rsidRPr="00C40532" w:rsidRDefault="00472A60" w:rsidP="00472A60">
      <w:pPr>
        <w:pStyle w:val="a6"/>
        <w:shd w:val="clear" w:color="auto" w:fill="FFFFFF"/>
        <w:spacing w:before="0" w:beforeAutospacing="0" w:after="0" w:afterAutospacing="0"/>
        <w:jc w:val="both"/>
        <w:rPr>
          <w:color w:val="5F5F5F"/>
          <w:lang w:val="en-US"/>
        </w:rPr>
      </w:pPr>
      <w:r w:rsidRPr="00C40532">
        <w:rPr>
          <w:color w:val="5F5F5F"/>
          <w:lang w:val="en-US"/>
        </w:rPr>
        <w:t>All property taxes are regional and the rates are established by regional authorities but cannot exceed the following limits established by the Tax Code:</w:t>
      </w:r>
    </w:p>
    <w:tbl>
      <w:tblPr>
        <w:tblW w:w="5000" w:type="pct"/>
        <w:tblCellSpacing w:w="0" w:type="dxa"/>
        <w:shd w:val="clear" w:color="auto" w:fill="FFFFFF"/>
        <w:tblCellMar>
          <w:left w:w="0" w:type="dxa"/>
          <w:right w:w="0" w:type="dxa"/>
        </w:tblCellMar>
        <w:tblLook w:val="04A0"/>
      </w:tblPr>
      <w:tblGrid>
        <w:gridCol w:w="150"/>
        <w:gridCol w:w="239"/>
        <w:gridCol w:w="9299"/>
      </w:tblGrid>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2"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Property tax on fixed assets - 2.2%</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3"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Transport tax on owned vehicles, vessels and aircraft - tax amount depends on engine capacity</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4" type="#_x0000_t75" alt="" style="width:6.8pt;height:1.35pt"/>
              </w:pict>
            </w:r>
          </w:p>
        </w:tc>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5"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and is calculated on horse-power or by a similar yardstick</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6"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Land tax on owned land plots - rate varies from 0.3% to 1.5% of the land book value and</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7" type="#_x0000_t75" alt="" style="width:6.8pt;height:1.35pt"/>
              </w:pict>
            </w:r>
          </w:p>
        </w:tc>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8"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depends on type of plots</w:t>
            </w:r>
          </w:p>
        </w:tc>
      </w:tr>
    </w:tbl>
    <w:p w:rsidR="00472A60" w:rsidRPr="00C40532" w:rsidRDefault="00472A60" w:rsidP="00472A60">
      <w:pPr>
        <w:pStyle w:val="a6"/>
        <w:shd w:val="clear" w:color="auto" w:fill="FFFFFF"/>
        <w:spacing w:before="0" w:beforeAutospacing="0" w:after="0" w:afterAutospacing="0"/>
        <w:jc w:val="both"/>
        <w:rPr>
          <w:color w:val="5F5F5F"/>
        </w:rPr>
      </w:pPr>
      <w:r w:rsidRPr="00C40532">
        <w:rPr>
          <w:color w:val="5F5F5F"/>
        </w:rPr>
        <w:t>Individuals are liable for:</w:t>
      </w:r>
    </w:p>
    <w:tbl>
      <w:tblPr>
        <w:tblW w:w="5000" w:type="pct"/>
        <w:tblCellSpacing w:w="0" w:type="dxa"/>
        <w:shd w:val="clear" w:color="auto" w:fill="FFFFFF"/>
        <w:tblCellMar>
          <w:left w:w="0" w:type="dxa"/>
          <w:right w:w="0" w:type="dxa"/>
        </w:tblCellMar>
        <w:tblLook w:val="04A0"/>
      </w:tblPr>
      <w:tblGrid>
        <w:gridCol w:w="150"/>
        <w:gridCol w:w="286"/>
        <w:gridCol w:w="9252"/>
      </w:tblGrid>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39"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Individual Income tax: 13% for tax residents and 30% for non-residents, 35% on interest and</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0" type="#_x0000_t75" alt="" style="width:6.8pt;height:1.35pt"/>
              </w:pict>
            </w:r>
          </w:p>
        </w:tc>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1"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similar income, 9% to15% on dividend income</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2"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Property tax on immovable property</w:t>
            </w:r>
            <w:r w:rsidRPr="00C40532">
              <w:rPr>
                <w:rStyle w:val="apple-converted-space"/>
                <w:rFonts w:ascii="Times New Roman" w:hAnsi="Times New Roman" w:cs="Times New Roman"/>
                <w:color w:val="5F5F5F"/>
                <w:sz w:val="24"/>
                <w:szCs w:val="24"/>
                <w:lang w:val="en-US"/>
              </w:rPr>
              <w:t> </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3"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Land tax - similar to corporations</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4" type="#_x0000_t75" alt="" style="width:6.8pt;height:1.35pt"/>
              </w:pict>
            </w:r>
          </w:p>
        </w:tc>
        <w:tc>
          <w:tcPr>
            <w:tcW w:w="0" w:type="auto"/>
            <w:gridSpan w:val="2"/>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Transport tax - similar to corporations</w:t>
            </w:r>
          </w:p>
        </w:tc>
      </w:tr>
    </w:tbl>
    <w:p w:rsidR="00472A60" w:rsidRPr="00C40532" w:rsidRDefault="00472A60" w:rsidP="00472A60">
      <w:pPr>
        <w:pStyle w:val="a6"/>
        <w:shd w:val="clear" w:color="auto" w:fill="FFFFFF"/>
        <w:spacing w:before="0" w:beforeAutospacing="0" w:after="0" w:afterAutospacing="0"/>
        <w:jc w:val="both"/>
        <w:rPr>
          <w:color w:val="5F5F5F"/>
          <w:lang w:val="en-US"/>
        </w:rPr>
      </w:pPr>
      <w:r w:rsidRPr="00C40532">
        <w:rPr>
          <w:color w:val="5F5F5F"/>
          <w:lang w:val="en-US"/>
        </w:rPr>
        <w:t>Please refer to</w:t>
      </w:r>
      <w:r w:rsidRPr="00C40532">
        <w:rPr>
          <w:rStyle w:val="apple-converted-space"/>
          <w:color w:val="5F5F5F"/>
          <w:lang w:val="en-US"/>
        </w:rPr>
        <w:t> </w:t>
      </w:r>
      <w:r w:rsidR="00AA3725">
        <w:fldChar w:fldCharType="begin"/>
      </w:r>
      <w:r w:rsidR="00AA3725" w:rsidRPr="003E0431">
        <w:rPr>
          <w:lang w:val="en-US"/>
        </w:rPr>
        <w:instrText>HYPERLINK "http://www.vfbs.ru/startup/brief_tax.html"</w:instrText>
      </w:r>
      <w:r w:rsidR="00AA3725">
        <w:fldChar w:fldCharType="separate"/>
      </w:r>
      <w:r w:rsidRPr="00C40532">
        <w:rPr>
          <w:rStyle w:val="a5"/>
          <w:b/>
          <w:bCs/>
          <w:color w:val="5F5F5F"/>
          <w:lang w:val="en-US"/>
        </w:rPr>
        <w:t>Individual Income Tax</w:t>
      </w:r>
      <w:r w:rsidR="00AA3725">
        <w:fldChar w:fldCharType="end"/>
      </w:r>
      <w:r w:rsidRPr="00C40532">
        <w:rPr>
          <w:rStyle w:val="apple-converted-space"/>
          <w:color w:val="5F5F5F"/>
          <w:lang w:val="en-US"/>
        </w:rPr>
        <w:t> </w:t>
      </w:r>
      <w:r w:rsidRPr="00C40532">
        <w:rPr>
          <w:color w:val="5F5F5F"/>
          <w:lang w:val="en-US"/>
        </w:rPr>
        <w:t>for more details.</w:t>
      </w:r>
    </w:p>
    <w:p w:rsidR="00472A60" w:rsidRPr="00C40532" w:rsidRDefault="00472A60" w:rsidP="00472A60">
      <w:pPr>
        <w:spacing w:after="0" w:line="240" w:lineRule="auto"/>
        <w:jc w:val="both"/>
        <w:rPr>
          <w:rFonts w:ascii="Times New Roman" w:hAnsi="Times New Roman" w:cs="Times New Roman"/>
          <w:sz w:val="24"/>
          <w:szCs w:val="24"/>
          <w:lang w:val="en-US"/>
        </w:rPr>
      </w:pPr>
      <w:r w:rsidRPr="00C40532">
        <w:rPr>
          <w:rFonts w:ascii="Times New Roman" w:hAnsi="Times New Roman" w:cs="Times New Roman"/>
          <w:b/>
          <w:bCs/>
          <w:color w:val="5F5F5F"/>
          <w:sz w:val="24"/>
          <w:szCs w:val="24"/>
          <w:shd w:val="clear" w:color="auto" w:fill="FFFFFF"/>
          <w:lang w:val="en-US"/>
        </w:rPr>
        <w:t>5.</w:t>
      </w:r>
      <w:r w:rsidRPr="00C40532">
        <w:rPr>
          <w:rStyle w:val="apple-converted-space"/>
          <w:rFonts w:ascii="Times New Roman" w:hAnsi="Times New Roman" w:cs="Times New Roman"/>
          <w:color w:val="5F5F5F"/>
          <w:sz w:val="24"/>
          <w:szCs w:val="24"/>
          <w:shd w:val="clear" w:color="auto" w:fill="FFFFFF"/>
          <w:lang w:val="en-US"/>
        </w:rPr>
        <w:t> </w:t>
      </w:r>
      <w:r w:rsidRPr="00C40532">
        <w:rPr>
          <w:rFonts w:ascii="Times New Roman" w:hAnsi="Times New Roman" w:cs="Times New Roman"/>
          <w:color w:val="5F5F5F"/>
          <w:sz w:val="24"/>
          <w:szCs w:val="24"/>
          <w:shd w:val="clear" w:color="auto" w:fill="FFFFFF"/>
          <w:lang w:val="en-US"/>
        </w:rPr>
        <w:t>Other taxes and duties are applied on specific products, activities and certain procedures carried out by notaries and governmental authorities:</w:t>
      </w:r>
      <w:r w:rsidRPr="00C40532">
        <w:rPr>
          <w:rFonts w:ascii="Times New Roman" w:hAnsi="Times New Roman" w:cs="Times New Roman"/>
          <w:color w:val="5F5F5F"/>
          <w:sz w:val="24"/>
          <w:szCs w:val="24"/>
          <w:lang w:val="en-US"/>
        </w:rPr>
        <w:br/>
      </w:r>
    </w:p>
    <w:tbl>
      <w:tblPr>
        <w:tblW w:w="5000" w:type="pct"/>
        <w:tblCellSpacing w:w="0" w:type="dxa"/>
        <w:shd w:val="clear" w:color="auto" w:fill="FFFFFF"/>
        <w:tblCellMar>
          <w:left w:w="0" w:type="dxa"/>
          <w:right w:w="0" w:type="dxa"/>
        </w:tblCellMar>
        <w:tblLook w:val="04A0"/>
      </w:tblPr>
      <w:tblGrid>
        <w:gridCol w:w="150"/>
        <w:gridCol w:w="9538"/>
      </w:tblGrid>
      <w:tr w:rsidR="00472A60" w:rsidRPr="00C40532"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5"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rPr>
            </w:pPr>
            <w:r w:rsidRPr="00C40532">
              <w:rPr>
                <w:rFonts w:ascii="Times New Roman" w:hAnsi="Times New Roman" w:cs="Times New Roman"/>
                <w:color w:val="5F5F5F"/>
                <w:sz w:val="24"/>
                <w:szCs w:val="24"/>
              </w:rPr>
              <w:t>Excises</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6"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Tax on Mineral Resources Extraction</w:t>
            </w:r>
          </w:p>
        </w:tc>
      </w:tr>
      <w:tr w:rsidR="00472A60" w:rsidRPr="00C40532"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7"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rPr>
            </w:pPr>
            <w:r w:rsidRPr="00C40532">
              <w:rPr>
                <w:rFonts w:ascii="Times New Roman" w:hAnsi="Times New Roman" w:cs="Times New Roman"/>
                <w:color w:val="5F5F5F"/>
                <w:sz w:val="24"/>
                <w:szCs w:val="24"/>
              </w:rPr>
              <w:t>Customs Duties</w:t>
            </w:r>
          </w:p>
        </w:tc>
      </w:tr>
      <w:tr w:rsidR="00472A60" w:rsidRPr="00C40532"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8"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rPr>
            </w:pPr>
            <w:r w:rsidRPr="00C40532">
              <w:rPr>
                <w:rFonts w:ascii="Times New Roman" w:hAnsi="Times New Roman" w:cs="Times New Roman"/>
                <w:color w:val="5F5F5F"/>
                <w:sz w:val="24"/>
                <w:szCs w:val="24"/>
              </w:rPr>
              <w:t>Water Tax</w:t>
            </w:r>
          </w:p>
        </w:tc>
      </w:tr>
      <w:tr w:rsidR="00472A60" w:rsidRPr="003E0431"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49"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lang w:val="en-US"/>
              </w:rPr>
            </w:pPr>
            <w:r w:rsidRPr="00C40532">
              <w:rPr>
                <w:rFonts w:ascii="Times New Roman" w:hAnsi="Times New Roman" w:cs="Times New Roman"/>
                <w:color w:val="5F5F5F"/>
                <w:sz w:val="24"/>
                <w:szCs w:val="24"/>
                <w:lang w:val="en-US"/>
              </w:rPr>
              <w:t>Duty on the use of Flora and Fauna</w:t>
            </w:r>
          </w:p>
        </w:tc>
      </w:tr>
      <w:tr w:rsidR="00472A60" w:rsidRPr="00C40532" w:rsidTr="000A0C98">
        <w:trPr>
          <w:tblCellSpacing w:w="0" w:type="dxa"/>
        </w:trPr>
        <w:tc>
          <w:tcPr>
            <w:tcW w:w="150" w:type="dxa"/>
            <w:shd w:val="clear" w:color="auto" w:fill="FFFFFF"/>
            <w:vAlign w:val="center"/>
            <w:hideMark/>
          </w:tcPr>
          <w:p w:rsidR="00472A60" w:rsidRPr="00C40532" w:rsidRDefault="00AA3725" w:rsidP="000A0C98">
            <w:pPr>
              <w:spacing w:after="0" w:line="240" w:lineRule="auto"/>
              <w:jc w:val="both"/>
              <w:rPr>
                <w:rFonts w:ascii="Times New Roman" w:hAnsi="Times New Roman" w:cs="Times New Roman"/>
                <w:color w:val="5F5F5F"/>
                <w:sz w:val="24"/>
                <w:szCs w:val="24"/>
              </w:rPr>
            </w:pPr>
            <w:r w:rsidRPr="00AA3725">
              <w:rPr>
                <w:rFonts w:ascii="Times New Roman" w:hAnsi="Times New Roman" w:cs="Times New Roman"/>
                <w:color w:val="5F5F5F"/>
                <w:sz w:val="24"/>
                <w:szCs w:val="24"/>
              </w:rPr>
              <w:pict>
                <v:shape id="_x0000_i1050" type="#_x0000_t75" alt="" style="width:6.8pt;height:1.35pt"/>
              </w:pict>
            </w:r>
          </w:p>
        </w:tc>
        <w:tc>
          <w:tcPr>
            <w:tcW w:w="0" w:type="auto"/>
            <w:shd w:val="clear" w:color="auto" w:fill="FFFFFF"/>
            <w:vAlign w:val="center"/>
            <w:hideMark/>
          </w:tcPr>
          <w:p w:rsidR="00472A60" w:rsidRPr="00C40532" w:rsidRDefault="00472A60" w:rsidP="000A0C98">
            <w:pPr>
              <w:spacing w:after="0" w:line="240" w:lineRule="auto"/>
              <w:jc w:val="both"/>
              <w:rPr>
                <w:rFonts w:ascii="Times New Roman" w:hAnsi="Times New Roman" w:cs="Times New Roman"/>
                <w:color w:val="5F5F5F"/>
                <w:sz w:val="24"/>
                <w:szCs w:val="24"/>
              </w:rPr>
            </w:pPr>
            <w:r w:rsidRPr="00C40532">
              <w:rPr>
                <w:rFonts w:ascii="Times New Roman" w:hAnsi="Times New Roman" w:cs="Times New Roman"/>
                <w:color w:val="5F5F5F"/>
                <w:sz w:val="24"/>
                <w:szCs w:val="24"/>
              </w:rPr>
              <w:t>Stamp Duties</w:t>
            </w:r>
          </w:p>
        </w:tc>
      </w:tr>
    </w:tbl>
    <w:p w:rsidR="00472A60" w:rsidRPr="00C40532" w:rsidRDefault="00472A60" w:rsidP="00472A60">
      <w:pPr>
        <w:pStyle w:val="a6"/>
        <w:shd w:val="clear" w:color="auto" w:fill="FFFFFF"/>
        <w:spacing w:before="0" w:beforeAutospacing="0" w:after="0" w:afterAutospacing="0"/>
        <w:jc w:val="both"/>
        <w:rPr>
          <w:color w:val="5F5F5F"/>
          <w:lang w:val="en-US"/>
        </w:rPr>
      </w:pPr>
      <w:r w:rsidRPr="00C40532">
        <w:rPr>
          <w:color w:val="5F5F5F"/>
          <w:lang w:val="en-US"/>
        </w:rPr>
        <w:t xml:space="preserve">There </w:t>
      </w:r>
      <w:proofErr w:type="gramStart"/>
      <w:r w:rsidRPr="00C40532">
        <w:rPr>
          <w:color w:val="5F5F5F"/>
          <w:lang w:val="en-US"/>
        </w:rPr>
        <w:t>are</w:t>
      </w:r>
      <w:proofErr w:type="gramEnd"/>
      <w:r w:rsidRPr="00C40532">
        <w:rPr>
          <w:color w:val="5F5F5F"/>
          <w:lang w:val="en-US"/>
        </w:rPr>
        <w:t xml:space="preserve"> also special tax regimes for small, agricultural businesses and agreements on product sharing used for the extraction of mineral resources.</w:t>
      </w:r>
    </w:p>
    <w:p w:rsidR="00472A60" w:rsidRPr="00C40532" w:rsidRDefault="00472A60" w:rsidP="00472A60">
      <w:pPr>
        <w:pStyle w:val="a6"/>
        <w:shd w:val="clear" w:color="auto" w:fill="FFFFFF"/>
        <w:spacing w:before="0" w:beforeAutospacing="0" w:after="0" w:afterAutospacing="0"/>
        <w:jc w:val="both"/>
        <w:rPr>
          <w:color w:val="5F5F5F"/>
          <w:lang w:val="en-US"/>
        </w:rPr>
      </w:pPr>
      <w:r w:rsidRPr="00C40532">
        <w:rPr>
          <w:color w:val="5F5F5F"/>
          <w:lang w:val="en-US"/>
        </w:rPr>
        <w:t>Under small and agricultural regimes a unified tax, generally from 6% to 15% (or a fixed contribution) is paid. But certain conditions have to be satisfied in applying such regimes.</w:t>
      </w:r>
    </w:p>
    <w:p w:rsidR="00472A60" w:rsidRPr="00C40532" w:rsidRDefault="00472A60" w:rsidP="00472A60">
      <w:pPr>
        <w:pStyle w:val="2"/>
        <w:shd w:val="clear" w:color="auto" w:fill="FFFFFF"/>
        <w:spacing w:before="0" w:beforeAutospacing="0" w:after="0" w:afterAutospacing="0"/>
        <w:jc w:val="both"/>
        <w:rPr>
          <w:b w:val="0"/>
          <w:bCs w:val="0"/>
          <w:color w:val="000000"/>
          <w:sz w:val="24"/>
          <w:szCs w:val="24"/>
          <w:lang w:val="en-US"/>
        </w:rPr>
      </w:pPr>
      <w:r w:rsidRPr="00C40532">
        <w:rPr>
          <w:b w:val="0"/>
          <w:bCs w:val="0"/>
          <w:color w:val="000000"/>
          <w:sz w:val="24"/>
          <w:szCs w:val="24"/>
          <w:lang w:val="en-US"/>
        </w:rPr>
        <w:t>The Corporate Tax Rate in Russia stands at 20 percent. Corporate Tax Rate in Russia averaged 23 percent from 2001 until 2017, reaching an all time high of 43 percent in 2001 and a record low of 20 percent in 2009.</w:t>
      </w:r>
    </w:p>
    <w:p w:rsidR="00472A60" w:rsidRPr="00C40532" w:rsidRDefault="00472A60" w:rsidP="00472A60">
      <w:pPr>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lastRenderedPageBreak/>
        <w:drawing>
          <wp:inline distT="0" distB="0" distL="0" distR="0">
            <wp:extent cx="6120765" cy="2851771"/>
            <wp:effectExtent l="19050" t="0" r="0" b="0"/>
            <wp:docPr id="80" name="Рисунок 80" descr="Russia Corporate Tax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Russia Corporate Tax Rate"/>
                    <pic:cNvPicPr>
                      <a:picLocks noChangeAspect="1" noChangeArrowheads="1"/>
                    </pic:cNvPicPr>
                  </pic:nvPicPr>
                  <pic:blipFill>
                    <a:blip r:embed="rId112"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tbl>
      <w:tblPr>
        <w:tblW w:w="10047" w:type="dxa"/>
        <w:shd w:val="clear" w:color="auto" w:fill="FFFFFF"/>
        <w:tblCellMar>
          <w:top w:w="15" w:type="dxa"/>
          <w:left w:w="15" w:type="dxa"/>
          <w:bottom w:w="15" w:type="dxa"/>
          <w:right w:w="15" w:type="dxa"/>
        </w:tblCellMar>
        <w:tblLook w:val="04A0"/>
      </w:tblPr>
      <w:tblGrid>
        <w:gridCol w:w="2721"/>
        <w:gridCol w:w="1223"/>
        <w:gridCol w:w="1493"/>
        <w:gridCol w:w="1353"/>
        <w:gridCol w:w="1292"/>
        <w:gridCol w:w="1292"/>
        <w:gridCol w:w="673"/>
      </w:tblGrid>
      <w:tr w:rsidR="00472A60" w:rsidRPr="00C40532" w:rsidTr="000A0C98">
        <w:trPr>
          <w:tblHeader/>
        </w:trPr>
        <w:tc>
          <w:tcPr>
            <w:tcW w:w="2721" w:type="dxa"/>
            <w:tcBorders>
              <w:top w:val="nil"/>
              <w:bottom w:val="single" w:sz="12" w:space="0" w:color="DDDDDD"/>
            </w:tcBorders>
            <w:shd w:val="clear" w:color="auto" w:fill="FAFAFA"/>
            <w:tcMar>
              <w:top w:w="136" w:type="dxa"/>
              <w:left w:w="169"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Russia Taxes</w:t>
            </w:r>
          </w:p>
        </w:tc>
        <w:tc>
          <w:tcPr>
            <w:tcW w:w="0" w:type="auto"/>
            <w:tcBorders>
              <w:top w:val="nil"/>
              <w:bottom w:val="single" w:sz="12" w:space="0" w:color="DDDDDD"/>
            </w:tcBorders>
            <w:shd w:val="clear" w:color="auto" w:fill="FAFAFA"/>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Last</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Previous</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Highest</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Lowest</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r w:rsidRPr="00C40532">
              <w:rPr>
                <w:rFonts w:ascii="Times New Roman" w:hAnsi="Times New Roman" w:cs="Times New Roman"/>
                <w:color w:val="000000"/>
                <w:sz w:val="24"/>
                <w:szCs w:val="24"/>
              </w:rPr>
              <w:t>Unit</w:t>
            </w:r>
          </w:p>
        </w:tc>
        <w:tc>
          <w:tcPr>
            <w:tcW w:w="0" w:type="auto"/>
            <w:tcBorders>
              <w:top w:val="nil"/>
              <w:bottom w:val="single" w:sz="12" w:space="0" w:color="DDDDDD"/>
            </w:tcBorders>
            <w:shd w:val="clear" w:color="auto" w:fill="FAFAFA"/>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000000"/>
                <w:sz w:val="24"/>
                <w:szCs w:val="24"/>
              </w:rPr>
            </w:pPr>
          </w:p>
        </w:tc>
      </w:tr>
      <w:tr w:rsidR="00472A60" w:rsidRPr="00C40532" w:rsidTr="000A0C98">
        <w:tc>
          <w:tcPr>
            <w:tcW w:w="2721" w:type="dxa"/>
            <w:tcBorders>
              <w:top w:val="single" w:sz="6" w:space="0" w:color="E7E7EF"/>
            </w:tcBorders>
            <w:shd w:val="clear" w:color="auto" w:fill="FFFFFF"/>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13" w:history="1">
              <w:r w:rsidR="00472A60" w:rsidRPr="00C40532">
                <w:rPr>
                  <w:rFonts w:ascii="Times New Roman" w:hAnsi="Times New Roman" w:cs="Times New Roman"/>
                  <w:color w:val="333333"/>
                  <w:sz w:val="24"/>
                  <w:szCs w:val="24"/>
                </w:rPr>
                <w:t>Corporate Tax Rate</w:t>
              </w:r>
            </w:hyperlink>
          </w:p>
        </w:tc>
        <w:tc>
          <w:tcPr>
            <w:tcW w:w="0" w:type="auto"/>
            <w:tcBorders>
              <w:top w:val="single" w:sz="6" w:space="0" w:color="E7E7EF"/>
            </w:tcBorders>
            <w:shd w:val="clear" w:color="auto" w:fill="FFFFFF"/>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20.00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20.00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43.00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20.00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percent</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14"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2721" w:type="dxa"/>
            <w:tcBorders>
              <w:top w:val="single" w:sz="6" w:space="0" w:color="E7E7EF"/>
            </w:tcBorders>
            <w:shd w:val="clear" w:color="auto" w:fill="FFFFFF"/>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15" w:history="1">
              <w:r w:rsidR="00472A60" w:rsidRPr="00C40532">
                <w:rPr>
                  <w:rFonts w:ascii="Times New Roman" w:hAnsi="Times New Roman" w:cs="Times New Roman"/>
                  <w:color w:val="333333"/>
                  <w:sz w:val="24"/>
                  <w:szCs w:val="24"/>
                </w:rPr>
                <w:t>Personal Income Tax Rate</w:t>
              </w:r>
            </w:hyperlink>
          </w:p>
        </w:tc>
        <w:tc>
          <w:tcPr>
            <w:tcW w:w="0" w:type="auto"/>
            <w:tcBorders>
              <w:top w:val="single" w:sz="6" w:space="0" w:color="E7E7EF"/>
            </w:tcBorders>
            <w:shd w:val="clear" w:color="auto" w:fill="FFFFFF"/>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13.00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13.00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13.00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13.00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percent</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16"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2721" w:type="dxa"/>
            <w:tcBorders>
              <w:top w:val="single" w:sz="6" w:space="0" w:color="E7E7EF"/>
            </w:tcBorders>
            <w:shd w:val="clear" w:color="auto" w:fill="FFFFFF"/>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17" w:history="1">
              <w:r w:rsidR="00472A60" w:rsidRPr="00C40532">
                <w:rPr>
                  <w:rFonts w:ascii="Times New Roman" w:hAnsi="Times New Roman" w:cs="Times New Roman"/>
                  <w:color w:val="333333"/>
                  <w:sz w:val="24"/>
                  <w:szCs w:val="24"/>
                </w:rPr>
                <w:t>Sales Tax Rate</w:t>
              </w:r>
            </w:hyperlink>
          </w:p>
        </w:tc>
        <w:tc>
          <w:tcPr>
            <w:tcW w:w="0" w:type="auto"/>
            <w:tcBorders>
              <w:top w:val="single" w:sz="6" w:space="0" w:color="E7E7EF"/>
            </w:tcBorders>
            <w:shd w:val="clear" w:color="auto" w:fill="FFFFFF"/>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18.00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18.00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18.00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18.00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percent</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18"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2721" w:type="dxa"/>
            <w:tcBorders>
              <w:top w:val="single" w:sz="6" w:space="0" w:color="E7E7EF"/>
            </w:tcBorders>
            <w:shd w:val="clear" w:color="auto" w:fill="FFFFFF"/>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19" w:history="1">
              <w:r w:rsidR="00472A60" w:rsidRPr="00C40532">
                <w:rPr>
                  <w:rFonts w:ascii="Times New Roman" w:hAnsi="Times New Roman" w:cs="Times New Roman"/>
                  <w:color w:val="333333"/>
                  <w:sz w:val="24"/>
                  <w:szCs w:val="24"/>
                </w:rPr>
                <w:t>Social Security Rate</w:t>
              </w:r>
            </w:hyperlink>
          </w:p>
        </w:tc>
        <w:tc>
          <w:tcPr>
            <w:tcW w:w="0" w:type="auto"/>
            <w:tcBorders>
              <w:top w:val="single" w:sz="6" w:space="0" w:color="E7E7EF"/>
            </w:tcBorders>
            <w:shd w:val="clear" w:color="auto" w:fill="FFFFFF"/>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30.00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30.00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35.60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26.00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percent</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20"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2721" w:type="dxa"/>
            <w:tcBorders>
              <w:top w:val="single" w:sz="6" w:space="0" w:color="E7E7EF"/>
            </w:tcBorders>
            <w:shd w:val="clear" w:color="auto" w:fill="FFFFFF"/>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lang w:val="en-US"/>
              </w:rPr>
            </w:pPr>
            <w:r>
              <w:fldChar w:fldCharType="begin"/>
            </w:r>
            <w:r w:rsidRPr="003E0431">
              <w:rPr>
                <w:lang w:val="en-US"/>
              </w:rPr>
              <w:instrText>HYPERLINK "http://www.tradingeconomics.com/russia/social-security-rate-for-companies"</w:instrText>
            </w:r>
            <w:r>
              <w:fldChar w:fldCharType="separate"/>
            </w:r>
            <w:r w:rsidR="00472A60" w:rsidRPr="00C40532">
              <w:rPr>
                <w:rFonts w:ascii="Times New Roman" w:hAnsi="Times New Roman" w:cs="Times New Roman"/>
                <w:color w:val="333333"/>
                <w:sz w:val="24"/>
                <w:szCs w:val="24"/>
                <w:lang w:val="en-US"/>
              </w:rPr>
              <w:t>Social Security Rate For Companies</w:t>
            </w:r>
            <w:r>
              <w:fldChar w:fldCharType="end"/>
            </w:r>
          </w:p>
        </w:tc>
        <w:tc>
          <w:tcPr>
            <w:tcW w:w="0" w:type="auto"/>
            <w:tcBorders>
              <w:top w:val="single" w:sz="6" w:space="0" w:color="E7E7EF"/>
            </w:tcBorders>
            <w:shd w:val="clear" w:color="auto" w:fill="FFFFFF"/>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30.00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30.00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35.60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26.00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percent</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21" w:tgtFrame="_blank" w:history="1">
              <w:r w:rsidR="00472A60" w:rsidRPr="00C40532">
                <w:rPr>
                  <w:rFonts w:ascii="Times New Roman" w:hAnsi="Times New Roman" w:cs="Times New Roman"/>
                  <w:color w:val="333333"/>
                  <w:sz w:val="24"/>
                  <w:szCs w:val="24"/>
                </w:rPr>
                <w:t>[+]</w:t>
              </w:r>
            </w:hyperlink>
          </w:p>
        </w:tc>
      </w:tr>
      <w:tr w:rsidR="00472A60" w:rsidRPr="00C40532" w:rsidTr="000A0C98">
        <w:tc>
          <w:tcPr>
            <w:tcW w:w="2721" w:type="dxa"/>
            <w:tcBorders>
              <w:top w:val="single" w:sz="6" w:space="0" w:color="E7E7EF"/>
            </w:tcBorders>
            <w:shd w:val="clear" w:color="auto" w:fill="FFFFFF"/>
            <w:tcMar>
              <w:top w:w="136" w:type="dxa"/>
              <w:left w:w="169"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lang w:val="en-US"/>
              </w:rPr>
            </w:pPr>
            <w:r>
              <w:fldChar w:fldCharType="begin"/>
            </w:r>
            <w:r w:rsidRPr="003E0431">
              <w:rPr>
                <w:lang w:val="en-US"/>
              </w:rPr>
              <w:instrText>HYPERLINK "http://www.tradingeconomics.com/russia/social-security-rate-for-employees"</w:instrText>
            </w:r>
            <w:r>
              <w:fldChar w:fldCharType="separate"/>
            </w:r>
            <w:r w:rsidR="00472A60" w:rsidRPr="00C40532">
              <w:rPr>
                <w:rFonts w:ascii="Times New Roman" w:hAnsi="Times New Roman" w:cs="Times New Roman"/>
                <w:color w:val="333333"/>
                <w:sz w:val="24"/>
                <w:szCs w:val="24"/>
                <w:lang w:val="en-US"/>
              </w:rPr>
              <w:t>Social Security Rate For Employees</w:t>
            </w:r>
            <w:r>
              <w:fldChar w:fldCharType="end"/>
            </w:r>
          </w:p>
        </w:tc>
        <w:tc>
          <w:tcPr>
            <w:tcW w:w="0" w:type="auto"/>
            <w:tcBorders>
              <w:top w:val="single" w:sz="6" w:space="0" w:color="E7E7EF"/>
            </w:tcBorders>
            <w:shd w:val="clear" w:color="auto" w:fill="FFFFFF"/>
            <w:tcMar>
              <w:top w:w="136" w:type="dxa"/>
              <w:left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0.00</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472A60" w:rsidP="000A0C98">
            <w:pPr>
              <w:spacing w:after="0" w:line="240" w:lineRule="auto"/>
              <w:jc w:val="both"/>
              <w:rPr>
                <w:rFonts w:ascii="Times New Roman" w:hAnsi="Times New Roman" w:cs="Times New Roman"/>
                <w:color w:val="333333"/>
                <w:sz w:val="24"/>
                <w:szCs w:val="24"/>
              </w:rPr>
            </w:pPr>
            <w:r w:rsidRPr="00C40532">
              <w:rPr>
                <w:rFonts w:ascii="Times New Roman" w:hAnsi="Times New Roman" w:cs="Times New Roman"/>
                <w:color w:val="333333"/>
                <w:sz w:val="24"/>
                <w:szCs w:val="24"/>
              </w:rPr>
              <w:t>percent</w:t>
            </w:r>
          </w:p>
        </w:tc>
        <w:tc>
          <w:tcPr>
            <w:tcW w:w="0" w:type="auto"/>
            <w:tcBorders>
              <w:top w:val="single" w:sz="6" w:space="0" w:color="E7E7EF"/>
            </w:tcBorders>
            <w:shd w:val="clear" w:color="auto" w:fill="FFFFFF"/>
            <w:tcMar>
              <w:top w:w="136" w:type="dxa"/>
              <w:bottom w:w="136" w:type="dxa"/>
              <w:right w:w="136" w:type="dxa"/>
            </w:tcMar>
            <w:hideMark/>
          </w:tcPr>
          <w:p w:rsidR="00472A60" w:rsidRPr="00C40532" w:rsidRDefault="00AA3725" w:rsidP="000A0C98">
            <w:pPr>
              <w:spacing w:after="0" w:line="240" w:lineRule="auto"/>
              <w:jc w:val="both"/>
              <w:rPr>
                <w:rFonts w:ascii="Times New Roman" w:hAnsi="Times New Roman" w:cs="Times New Roman"/>
                <w:color w:val="333333"/>
                <w:sz w:val="24"/>
                <w:szCs w:val="24"/>
              </w:rPr>
            </w:pPr>
            <w:hyperlink r:id="rId122" w:tgtFrame="_blank" w:history="1">
              <w:r w:rsidR="00472A60" w:rsidRPr="00C40532">
                <w:rPr>
                  <w:rFonts w:ascii="Times New Roman" w:hAnsi="Times New Roman" w:cs="Times New Roman"/>
                  <w:color w:val="333333"/>
                  <w:sz w:val="24"/>
                  <w:szCs w:val="24"/>
                </w:rPr>
                <w:t>[+]</w:t>
              </w:r>
            </w:hyperlink>
          </w:p>
        </w:tc>
      </w:tr>
    </w:tbl>
    <w:p w:rsidR="00472A60" w:rsidRPr="00C40532" w:rsidRDefault="00472A60" w:rsidP="00472A60">
      <w:pPr>
        <w:pStyle w:val="2"/>
        <w:shd w:val="clear" w:color="auto" w:fill="FFFFFF"/>
        <w:spacing w:before="0" w:beforeAutospacing="0" w:after="0" w:afterAutospacing="0"/>
        <w:jc w:val="both"/>
        <w:rPr>
          <w:sz w:val="24"/>
          <w:szCs w:val="24"/>
          <w:lang w:val="en-US"/>
        </w:rPr>
      </w:pP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pacing w:after="0" w:line="240" w:lineRule="auto"/>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6.</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main directions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tax and budget</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policy</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Russian Federation</w:t>
      </w:r>
      <w:r w:rsidRPr="00C40532">
        <w:rPr>
          <w:rFonts w:ascii="Times New Roman" w:hAnsi="Times New Roman" w:cs="Times New Roman"/>
          <w:b/>
          <w:sz w:val="24"/>
          <w:szCs w:val="24"/>
          <w:lang w:val="en-US"/>
        </w:rPr>
        <w:t>.</w:t>
      </w: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pStyle w:val="a6"/>
        <w:shd w:val="clear" w:color="auto" w:fill="FFFFFF"/>
        <w:spacing w:before="0" w:beforeAutospacing="0" w:after="0" w:afterAutospacing="0"/>
        <w:jc w:val="both"/>
        <w:textAlignment w:val="baseline"/>
        <w:rPr>
          <w:lang w:val="en-US"/>
        </w:rPr>
      </w:pPr>
      <w:r w:rsidRPr="00C40532">
        <w:rPr>
          <w:lang w:val="en-US"/>
        </w:rPr>
        <w:t xml:space="preserve">In the sphere of budgetary policy, the guidelines for state actions are fixed by the law. The budget of the next year is commonly planned by fixing of the income and expenses within the functional budgetary classification (further FBC). Its account indicators are approved by article 124 of the bill according to «sections and subsections» of FBC with reference to Appendix 11 of the law on the budget, as well as under the «target articles and types of expenses» with reference to Appendix 12. At the same time the income is considered solely by the bill «on the main sources» in article 24 without its obvious binding to the Budgetary classification. As a result, in the law on the budget the income is presented not in the format of expenses, and not in the system, in which it will be considered in the course of the budget execution. Thus, it provides the basis for arising of various ambiguities, various interpretation, incomparability of the data and other disagreements that </w:t>
      </w:r>
      <w:r w:rsidRPr="00C40532">
        <w:rPr>
          <w:lang w:val="en-US"/>
        </w:rPr>
        <w:lastRenderedPageBreak/>
        <w:t xml:space="preserve">complicate the possibility of control of performance of the law on the budget. Meanwhile, the standards of the existing budgetary legislation allow the Government to spend the remains of budgetary funds formed at the beginning of year rather freely. It is connected with the illegibility of standards of the </w:t>
      </w:r>
      <w:proofErr w:type="gramStart"/>
      <w:r w:rsidRPr="00C40532">
        <w:rPr>
          <w:lang w:val="en-US"/>
        </w:rPr>
        <w:t>Budgetary</w:t>
      </w:r>
      <w:proofErr w:type="gramEnd"/>
      <w:r w:rsidRPr="00C40532">
        <w:rPr>
          <w:lang w:val="en-US"/>
        </w:rPr>
        <w:t xml:space="preserve"> code, in which there are no descriptions of the structure of the budget of the year and structure of laws on the budget of the year. In the text of the law on the annual budget (article 2), an additional degree of freedom in an expenditure of this rest without statement and even without notice of legislators is provided to the Government. As a result, the usefulness of reports on budget performance, if they also existed, is sharply depreciated, has a purely informative nature, instead of being of a supervisory character. Besides, as it was noted earlier, the Government has similar freedom when using up the extra-planned income. All this allows speaking about the absence of a due legislative supervision over the budget performance in Russia. It is obvious that the budgetary policy in the Russian Federation demands improvement and an individual approach to each element and the direction of its formation at the present stage. 4. Ways of a solution The required priority objectives of the planned expenditure commitments and, consequently, optimization, and a more effective use of financial resources - are one of the most important areas that should be covered in the budget policy and draw more attention. It is necessary to minimize the risks of unbalanced budget at the federal, regional and local levels with the direct implementation of the budget planning. Therefore, it should be based on real assessment of the draft budget and socio-economic development in the medium term. The introduction of the expert panel discussion will also serve as an additional safety net, since that will help to assess the draft budget for the planning period more accurately. It is necessary to increase the level of resistance of the budget and dispose of its heavy dependence on the external market conditions. The fiscal rules that will ensure the reduction of non-oil budget deficit can serve as a main mechanism in this part. 4.1. Improvement of system of </w:t>
      </w:r>
      <w:proofErr w:type="gramStart"/>
      <w:r w:rsidRPr="00C40532">
        <w:rPr>
          <w:lang w:val="en-US"/>
        </w:rPr>
        <w:t>an expenditure</w:t>
      </w:r>
      <w:proofErr w:type="gramEnd"/>
      <w:r w:rsidRPr="00C40532">
        <w:rPr>
          <w:lang w:val="en-US"/>
        </w:rPr>
        <w:t xml:space="preserve"> In the case of limited financial resources, an important rule consists in the fact that you must choose the most faithful direction of budget spending in order to achieve the required level of effectiveness of the implementation of fiscal policy in the long run. The implementation of the budget strategy of the Russian Federation in the long term will allow us to assess the direction of fiscal policy by means of obtaining of achieved balance and stability of the budget system of the Russian Federation. The effective, balanced budget policy will help to reduce the dependence of the federal budget and the budget system on income-oriented opportunism. In the future, there will be a complete transition to budgeting, which is based on the government programs. This will directly affect the subjects and local entities, obliging them to focus on the federal level in the future. Most state programs of the Russian Federation have significant drawbacks that today do not allow one to consider these programs as a mechanism of program planning. Therefore, along with the consideration of the federal draft budget for the next fiscal year, the basic public discussion of the government programs of the Russian Federation should be provided, taking into account the changes made to them, including the «ceiling» spending until 2020. 4.2. Increase in the income of the budget Along with improvements in </w:t>
      </w:r>
      <w:proofErr w:type="gramStart"/>
      <w:r w:rsidRPr="00C40532">
        <w:rPr>
          <w:lang w:val="en-US"/>
        </w:rPr>
        <w:t>expenditures,</w:t>
      </w:r>
      <w:proofErr w:type="gramEnd"/>
      <w:r w:rsidRPr="00C40532">
        <w:rPr>
          <w:lang w:val="en-US"/>
        </w:rPr>
        <w:t xml:space="preserve"> we have to find the options to increase the revenues. However, the revenue growth can be achieved by means of the improved tax administration in terms of tax revenues, contributing to an increase in profitability. In order to improve tax administration and tax policy, the State should revise the factors influencing it; therefore, there is an objective necessity of an approach to the following key areas: x The formation of additional conditions for the realization of innovative activity of public and private sectors; x The use of tools related to public-private partnership to create sources of investment in the health and educational institutions (exemption from income tax in these social sectors); x Strengthening of the tax base of the budget system of the Russian Federation by creating new emerging businesses. It also seems necessary to analyze and assess the performance impact of the existing tax and customs instruments on the economy. Since all of the above-mentioned activities are linked directly to the improvement of funding from the budget, it is advisable to create the concept of socio-economic </w:t>
      </w:r>
      <w:r w:rsidRPr="00C40532">
        <w:rPr>
          <w:lang w:val="en-US"/>
        </w:rPr>
        <w:lastRenderedPageBreak/>
        <w:t xml:space="preserve">development of the Federation as a whole, as well as the subjects of the Russian Federation. It is necessary to provide it with a forming agent of resource potential of regions and monitor regional and interregional financial flows, in which the region is involved. </w:t>
      </w:r>
      <w:proofErr w:type="gramStart"/>
      <w:r w:rsidRPr="00C40532">
        <w:rPr>
          <w:lang w:val="en-US"/>
        </w:rPr>
        <w:t>(Denisov Ya.A., 2012) 4.3.</w:t>
      </w:r>
      <w:proofErr w:type="gramEnd"/>
      <w:r w:rsidRPr="00C40532">
        <w:rPr>
          <w:lang w:val="en-US"/>
        </w:rPr>
        <w:t xml:space="preserve"> Improvement of the interbudgetary process </w:t>
      </w:r>
      <w:proofErr w:type="gramStart"/>
      <w:r w:rsidRPr="00C40532">
        <w:rPr>
          <w:lang w:val="en-US"/>
        </w:rPr>
        <w:t>The</w:t>
      </w:r>
      <w:proofErr w:type="gramEnd"/>
      <w:r w:rsidRPr="00C40532">
        <w:rPr>
          <w:lang w:val="en-US"/>
        </w:rPr>
        <w:t xml:space="preserve"> questions concerning the ways of improvement of budgets management and, therefore, finances are the most important set of controls of federation, regions and municipalities. The problems of the budgetary process are so vast that we cannot talk about the creating a unified management system of budgetary flows at the regional and federal levels. Today the actively discussed aspects are related to the effectiveness of the organization of intergovernmental relations, conflict resolution, without any economic and financial interests at all levels of government along with the ambiguity of interaction among the state, individuals and legal entities. The increase in the intergovernmental transfers implies the fact that control over the movement of funds within the country should be unified. The points regarding the performance and use of funds and intergovernmental transfers flashed out of sight of authorities monitoring this issue. As to financial instruments used in the implementation of intergovernmental relations in spending, we can note that an extensive approach to finance prevails. The questions on the methodology and techniques of use of budgetary funds have been underdeveloped in relation to the specific conditions of the Russian economy. (Safiullina, R. T., 2013) Among the areas of improvement of fiscal federalism in the budget legislation we should outline the following:</w:t>
      </w:r>
    </w:p>
    <w:p w:rsidR="00472A60" w:rsidRPr="00C40532" w:rsidRDefault="00472A60" w:rsidP="00472A60">
      <w:pPr>
        <w:pStyle w:val="a6"/>
        <w:shd w:val="clear" w:color="auto" w:fill="FFFFFF"/>
        <w:spacing w:before="0" w:beforeAutospacing="0" w:after="0" w:afterAutospacing="0"/>
        <w:jc w:val="both"/>
        <w:textAlignment w:val="baseline"/>
        <w:rPr>
          <w:color w:val="000000"/>
          <w:lang w:val="en-US"/>
        </w:rPr>
      </w:pPr>
      <w:r w:rsidRPr="00C40532">
        <w:rPr>
          <w:lang w:val="en-US"/>
        </w:rPr>
        <w:t>Establishment of priorities of fiscal equalization as an effective instrument of economic alignment of regions and municipalities; x Introduction of the principle of «equal deficit» budgets and instruments of its achievement in the practice of budget planning at all levels; x Preservation of the independence of budgets and responsibilities of governments at the corresponding level of the balance of the budget system, based on tax capacity of the corresponding territory, subjected to the provision of the necessary tax initiative. (Sokolov B. I., 2012)</w:t>
      </w:r>
    </w:p>
    <w:p w:rsidR="00472A60" w:rsidRPr="00C40532" w:rsidRDefault="00472A60" w:rsidP="00472A60">
      <w:pPr>
        <w:pStyle w:val="a6"/>
        <w:shd w:val="clear" w:color="auto" w:fill="FFFFFF"/>
        <w:spacing w:before="0" w:beforeAutospacing="0" w:after="0" w:afterAutospacing="0"/>
        <w:jc w:val="both"/>
        <w:textAlignment w:val="baseline"/>
        <w:rPr>
          <w:color w:val="000000"/>
          <w:lang w:val="en-US"/>
        </w:rPr>
      </w:pPr>
      <w:r w:rsidRPr="00C40532">
        <w:rPr>
          <w:color w:val="000000"/>
          <w:lang w:val="en-US"/>
        </w:rPr>
        <w:t>The state Duma Committee on budget and taxes on Monday at the meeting recommended the lower chamber of Parliament to approve the second reading of two bills providing for the unification of the basic directions budgetary, tax and customs tariff policy into a single document; relevant amendments are proposed to the Budget code and the law «On parliamentary control».</w:t>
      </w:r>
    </w:p>
    <w:p w:rsidR="00472A60" w:rsidRPr="00C40532" w:rsidRDefault="00472A60" w:rsidP="00472A60">
      <w:pPr>
        <w:pStyle w:val="a6"/>
        <w:shd w:val="clear" w:color="auto" w:fill="FFFFFF"/>
        <w:spacing w:before="0" w:beforeAutospacing="0" w:after="0" w:afterAutospacing="0"/>
        <w:jc w:val="both"/>
        <w:textAlignment w:val="baseline"/>
        <w:rPr>
          <w:color w:val="000000"/>
          <w:lang w:val="en-US"/>
        </w:rPr>
      </w:pPr>
      <w:r w:rsidRPr="00C40532">
        <w:rPr>
          <w:color w:val="000000"/>
          <w:lang w:val="en-US"/>
        </w:rPr>
        <w:t>Now the main directions of the budget policy (NBP), main directions of tax policy (ENP) and the main directions of customs tariff policy (OTTP) prepared by the government of the Russian Federation. Previously separate documents onbp, ONP and HTTP were brought in the state Duma separately.</w:t>
      </w:r>
    </w:p>
    <w:p w:rsidR="00472A60" w:rsidRPr="00C40532" w:rsidRDefault="00472A60" w:rsidP="00472A60">
      <w:pPr>
        <w:pStyle w:val="a6"/>
        <w:shd w:val="clear" w:color="auto" w:fill="FFFFFF"/>
        <w:spacing w:before="0" w:beforeAutospacing="0" w:after="0" w:afterAutospacing="0"/>
        <w:jc w:val="both"/>
        <w:textAlignment w:val="baseline"/>
        <w:rPr>
          <w:color w:val="000000"/>
          <w:lang w:val="en-US"/>
        </w:rPr>
      </w:pPr>
      <w:r w:rsidRPr="00C40532">
        <w:rPr>
          <w:color w:val="000000"/>
          <w:lang w:val="en-US"/>
        </w:rPr>
        <w:t>«Given that fiscal, tax and customs tariff policy are tools, and an inseparable, integral parts of the overall economic policy of the country, the obvious practical usefulness of the preparation of the single document, allowing you to eliminate the internal contradictions between the proposed measures in the tax and budget policy, and to apply the same approach to the drafting of the document», — stated in the explanatory note to the bill.</w:t>
      </w:r>
    </w:p>
    <w:p w:rsidR="00472A60" w:rsidRPr="00C40532" w:rsidRDefault="00472A60" w:rsidP="00472A60">
      <w:pPr>
        <w:spacing w:after="0" w:line="240" w:lineRule="auto"/>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center"/>
        <w:rPr>
          <w:rStyle w:val="hps"/>
          <w:rFonts w:ascii="Times New Roman" w:hAnsi="Times New Roman" w:cs="Times New Roman"/>
          <w:b/>
          <w:sz w:val="24"/>
          <w:szCs w:val="24"/>
          <w:lang w:val="en-US"/>
        </w:rPr>
      </w:pPr>
      <w:proofErr w:type="gramStart"/>
      <w:r w:rsidRPr="00C40532">
        <w:rPr>
          <w:rStyle w:val="hps"/>
          <w:rFonts w:ascii="Times New Roman" w:hAnsi="Times New Roman" w:cs="Times New Roman"/>
          <w:sz w:val="24"/>
          <w:szCs w:val="24"/>
          <w:lang w:val="en-US"/>
        </w:rPr>
        <w:t>Theme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14.</w:t>
      </w:r>
      <w:proofErr w:type="gramEnd"/>
      <w:r w:rsidRPr="00C40532">
        <w:rPr>
          <w:rStyle w:val="hps"/>
          <w:rFonts w:ascii="Times New Roman" w:hAnsi="Times New Roman" w:cs="Times New Roman"/>
          <w:sz w:val="24"/>
          <w:szCs w:val="24"/>
          <w:lang w:val="en-US"/>
        </w:rPr>
        <w:t xml:space="preserve"> Basic</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features and characteristics of</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the financial systems</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Central Asian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Republics</w:t>
      </w:r>
    </w:p>
    <w:p w:rsidR="00472A60" w:rsidRPr="00C40532" w:rsidRDefault="00472A60" w:rsidP="00472A60">
      <w:pPr>
        <w:shd w:val="clear" w:color="auto" w:fill="FFFFFF"/>
        <w:spacing w:after="0" w:line="240" w:lineRule="auto"/>
        <w:ind w:firstLine="567"/>
        <w:jc w:val="center"/>
        <w:rPr>
          <w:rStyle w:val="hps"/>
          <w:rFonts w:ascii="Times New Roman" w:hAnsi="Times New Roman" w:cs="Times New Roman"/>
          <w:b/>
          <w:sz w:val="24"/>
          <w:szCs w:val="24"/>
          <w:lang w:val="en-US"/>
        </w:rPr>
      </w:pPr>
    </w:p>
    <w:p w:rsidR="00472A60" w:rsidRPr="00C40532" w:rsidRDefault="00472A60" w:rsidP="00472A60">
      <w:pPr>
        <w:pStyle w:val="a4"/>
        <w:numPr>
          <w:ilvl w:val="0"/>
          <w:numId w:val="34"/>
        </w:numPr>
        <w:shd w:val="clear" w:color="auto" w:fill="FFFFFF"/>
        <w:tabs>
          <w:tab w:val="left" w:pos="851"/>
        </w:tabs>
        <w:spacing w:after="0" w:line="240" w:lineRule="auto"/>
        <w:ind w:left="0" w:firstLine="567"/>
        <w:jc w:val="both"/>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Description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Uzbekistan.</w:t>
      </w:r>
    </w:p>
    <w:p w:rsidR="00472A60" w:rsidRPr="00C40532" w:rsidRDefault="00472A60" w:rsidP="00472A60">
      <w:pPr>
        <w:pStyle w:val="a4"/>
        <w:numPr>
          <w:ilvl w:val="0"/>
          <w:numId w:val="34"/>
        </w:numPr>
        <w:shd w:val="clear" w:color="auto" w:fill="FFFFFF"/>
        <w:tabs>
          <w:tab w:val="left" w:pos="851"/>
        </w:tabs>
        <w:spacing w:after="0" w:line="240" w:lineRule="auto"/>
        <w:ind w:left="0" w:firstLine="567"/>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 composition of the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financial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Kyrgyzstan</w:t>
      </w:r>
      <w:r w:rsidRPr="00C40532">
        <w:rPr>
          <w:rFonts w:ascii="Times New Roman" w:hAnsi="Times New Roman" w:cs="Times New Roman"/>
          <w:sz w:val="24"/>
          <w:szCs w:val="24"/>
          <w:lang w:val="en-US"/>
        </w:rPr>
        <w:t>.</w:t>
      </w:r>
    </w:p>
    <w:p w:rsidR="00472A60" w:rsidRPr="00C40532" w:rsidRDefault="00472A60" w:rsidP="00472A60">
      <w:pPr>
        <w:pStyle w:val="a4"/>
        <w:numPr>
          <w:ilvl w:val="0"/>
          <w:numId w:val="34"/>
        </w:numPr>
        <w:shd w:val="clear" w:color="auto" w:fill="FFFFFF"/>
        <w:tabs>
          <w:tab w:val="left" w:pos="851"/>
        </w:tabs>
        <w:spacing w:after="0" w:line="240" w:lineRule="auto"/>
        <w:ind w:left="0" w:firstLine="567"/>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 financial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Turkmenistan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at the current stage</w:t>
      </w:r>
      <w:r w:rsidRPr="00C40532">
        <w:rPr>
          <w:rFonts w:ascii="Times New Roman" w:hAnsi="Times New Roman" w:cs="Times New Roman"/>
          <w:sz w:val="24"/>
          <w:szCs w:val="24"/>
          <w:lang w:val="en-US"/>
        </w:rPr>
        <w:t>.</w:t>
      </w:r>
    </w:p>
    <w:p w:rsidR="00472A60" w:rsidRPr="00C40532" w:rsidRDefault="00472A60" w:rsidP="00472A60">
      <w:pPr>
        <w:pStyle w:val="a4"/>
        <w:numPr>
          <w:ilvl w:val="0"/>
          <w:numId w:val="34"/>
        </w:numPr>
        <w:shd w:val="clear" w:color="auto" w:fill="FFFFFF"/>
        <w:tabs>
          <w:tab w:val="left" w:pos="851"/>
        </w:tabs>
        <w:spacing w:after="0" w:line="240" w:lineRule="auto"/>
        <w:ind w:left="0" w:firstLine="567"/>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Specifics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taxation in the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Central Asian republics</w:t>
      </w:r>
      <w:r w:rsidRPr="00C40532">
        <w:rPr>
          <w:rFonts w:ascii="Times New Roman" w:hAnsi="Times New Roman" w:cs="Times New Roman"/>
          <w:sz w:val="24"/>
          <w:szCs w:val="24"/>
          <w:lang w:val="en-US"/>
        </w:rPr>
        <w:t>.</w:t>
      </w:r>
    </w:p>
    <w:p w:rsidR="00472A60" w:rsidRPr="00C40532" w:rsidRDefault="00472A60" w:rsidP="00472A60">
      <w:pPr>
        <w:pStyle w:val="a4"/>
        <w:numPr>
          <w:ilvl w:val="0"/>
          <w:numId w:val="34"/>
        </w:numPr>
        <w:shd w:val="clear" w:color="auto" w:fill="FFFFFF"/>
        <w:tabs>
          <w:tab w:val="left" w:pos="851"/>
        </w:tabs>
        <w:spacing w:after="0" w:line="240" w:lineRule="auto"/>
        <w:ind w:left="0" w:firstLine="567"/>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The composition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characteristics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income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expenditures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state budget</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Uzbekistan.</w:t>
      </w:r>
    </w:p>
    <w:p w:rsidR="00472A60" w:rsidRPr="00C40532" w:rsidRDefault="00472A60" w:rsidP="00472A60">
      <w:pPr>
        <w:pStyle w:val="a4"/>
        <w:numPr>
          <w:ilvl w:val="0"/>
          <w:numId w:val="34"/>
        </w:numPr>
        <w:shd w:val="clear" w:color="auto" w:fill="FFFFFF"/>
        <w:tabs>
          <w:tab w:val="left" w:pos="851"/>
        </w:tabs>
        <w:spacing w:after="0" w:line="240" w:lineRule="auto"/>
        <w:ind w:left="0" w:firstLine="567"/>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t>Features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budgetary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Kyrgyzstan.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state budget</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 its structure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Turkmenistan.</w:t>
      </w:r>
    </w:p>
    <w:p w:rsidR="00472A60" w:rsidRPr="00C40532" w:rsidRDefault="00472A60" w:rsidP="00472A60">
      <w:pPr>
        <w:pStyle w:val="a4"/>
        <w:numPr>
          <w:ilvl w:val="0"/>
          <w:numId w:val="34"/>
        </w:numPr>
        <w:shd w:val="clear" w:color="auto" w:fill="FFFFFF"/>
        <w:tabs>
          <w:tab w:val="left" w:pos="851"/>
        </w:tabs>
        <w:spacing w:after="0" w:line="240" w:lineRule="auto"/>
        <w:ind w:left="0" w:firstLine="567"/>
        <w:jc w:val="both"/>
        <w:rPr>
          <w:rFonts w:ascii="Times New Roman" w:hAnsi="Times New Roman" w:cs="Times New Roman"/>
          <w:sz w:val="24"/>
          <w:szCs w:val="24"/>
          <w:lang w:val="en-US"/>
        </w:rPr>
      </w:pPr>
      <w:r w:rsidRPr="00C40532">
        <w:rPr>
          <w:rStyle w:val="hps"/>
          <w:rFonts w:ascii="Times New Roman" w:hAnsi="Times New Roman" w:cs="Times New Roman"/>
          <w:sz w:val="24"/>
          <w:szCs w:val="24"/>
          <w:lang w:val="en-US"/>
        </w:rPr>
        <w:lastRenderedPageBreak/>
        <w:t>The problems of economic</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integration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Central Asian republics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 Kazakhstan</w:t>
      </w:r>
      <w:r w:rsidRPr="00C40532">
        <w:rPr>
          <w:rFonts w:ascii="Times New Roman" w:hAnsi="Times New Roman" w:cs="Times New Roman"/>
          <w:sz w:val="24"/>
          <w:szCs w:val="24"/>
          <w:lang w:val="en-US"/>
        </w:rPr>
        <w: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pStyle w:val="a4"/>
        <w:numPr>
          <w:ilvl w:val="0"/>
          <w:numId w:val="36"/>
        </w:numPr>
        <w:shd w:val="clear" w:color="auto" w:fill="FFFFFF"/>
        <w:tabs>
          <w:tab w:val="left" w:pos="851"/>
        </w:tabs>
        <w:spacing w:after="0" w:line="240" w:lineRule="auto"/>
        <w:jc w:val="both"/>
        <w:rPr>
          <w:rStyle w:val="hps"/>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Description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Uzbekistan</w:t>
      </w: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Uzbekistan’s Financial System since Independence </w:t>
      </w: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1.1 The Banking Sector</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After Independence in 1991, departments of the Soviet banks located in Uzbekistan became the independent banks of the Republic of Uzbekistan. A law of the Republic “On Banks and Banking Activity” was adopted in February 1991, establishing the new structure of the banking system. This structure envisaged the creation a two-tier banking system, with the Central Bank of Uzbekistan formed from the Uzbekistan’s department of Gosbank, as well as commercial banks based on various non-state forms of property (i.e. private, corporate, cooperative, etc.). According to the Law, the Central Bank became subordinate to the Oliy Majlis (the Parliament of Uzbekistan), and main task and responsibilities were set to conduct monetary policy and bank supervision, and also to provide the country with its own payments system.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Uzbekistan’s department of Vneshtorgbank became the National Bank for Foreign Economic Activity of Uzbekistan (NBU). Other new banks emerged from former Uzbekistan branches of Soviet banks. The branch of Sberbank became Narodnybank (the national savings bank); and the branch of the Soviet Promstroybank (industrial and construction bank) became Promstroybank of Uzbekistan.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legislation formed to regulate the banking system emphasised administrative measures of regulation. This was due to both of the background from which policy makers and legislators had emerged, and the unsophisticated state of the financial system at the time.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As economy and financial system developed, new two Laws were drafted to replace the outdated law. The law “On the Central Bank of the Republic of Uzbekistan” has been adopted as of 21st of December, 1995 and the new Law “On Banks and Banking Activity” was adopted on 25th of April, 1996.</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1.1.1 The Central Bank and its policies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main aim of the Central Bank, according to the new Law, has been set “…to ensure the stability of the national currency” (The Republic of Uzbekistan, 1995). The Central Bank has been forbidden to engage in commercial investing, and subsidizing particular banks or other organizations independently from their ownership. The Law “On the Central Bank” has also defined its status of independent from the state budget institution.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1997, foreign assets earlier held by the Ministry of Finance at the National Bank of Uzbekistan were transferred to the Central Bank. However, the NBU continues to be the depository of a large (though decreasing) proportion of official gold reserves on behalf of the Central Bank. Money and credit policies, as well as foreign exchange allocation, are determined by the Chairman of the Central Bank, with the involvement of representatives of various government agencies and the banking sector.</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roofErr w:type="gramStart"/>
      <w:r w:rsidRPr="00C40532">
        <w:rPr>
          <w:rFonts w:ascii="Times New Roman" w:hAnsi="Times New Roman" w:cs="Times New Roman"/>
          <w:sz w:val="24"/>
          <w:szCs w:val="24"/>
          <w:lang w:val="en-US"/>
        </w:rPr>
        <w:t>Monetary policy of the Central Bank.</w:t>
      </w:r>
      <w:proofErr w:type="gramEnd"/>
      <w:r w:rsidRPr="00C40532">
        <w:rPr>
          <w:rFonts w:ascii="Times New Roman" w:hAnsi="Times New Roman" w:cs="Times New Roman"/>
          <w:sz w:val="24"/>
          <w:szCs w:val="24"/>
          <w:lang w:val="en-US"/>
        </w:rPr>
        <w:t xml:space="preserve"> The monetary policy of the Central Bank in early independence years was largely influenced by the fact that Uzbekistan remained in Russian ruble zone until the end of 1993. Consequently, it had limited arsenal of tools and methods of monetary regulation. Nevertheless, since independence, monetary policy has become increasingly important as an instrument of economic regulation.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As mentioned earlier, in Soviet times, cash and credit plans were important ‘ingredients’ of overall plan and were aligned according to production plans. Since independence, there have been regular attempts to get rid of such planning. However, progress has been rather slow, and authorities have continued to intervene with the Central Bank’s responsibilities, rationing credit and </w:t>
      </w:r>
      <w:r w:rsidRPr="00C40532">
        <w:rPr>
          <w:rFonts w:ascii="Times New Roman" w:hAnsi="Times New Roman" w:cs="Times New Roman"/>
          <w:sz w:val="24"/>
          <w:szCs w:val="24"/>
          <w:lang w:val="en-US"/>
        </w:rPr>
        <w:lastRenderedPageBreak/>
        <w:t>manipulating money demand (Centre of Economic Research, 1997). The achievement of annual macroeconomic objectives on inflation and real GDP growth has been attempted through direct credit restriction by the Central Bank. Refinancing by the Central Bank has remained a more important instrument than reserve requirements and interest rate policy. The interest rate policy of the Central Bank differed significantly before introduction of the permanent national currency (in July, 1994) and after its introduction. Initially it behaved in very much the same manner as Gosbank of the ex-USSR. Since introduction of the national currency, refinancing policy has changed. It became more oriented towards the achievement and maintenance of macroeconomic stability and the support of banking sector liquidity.</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mid-1994, the refinancing rate has increased to 150% per year, and in March 1995, it increased further to 300%. It thus became positive in real terms. Since 1995, all refinancing credits have been granted via the interbank auctions. The refinancing rate has been revised on regular basis to reflect inflation rate expectations. In 2001 the rate was cut to 24% but the inflation rate has remained at the level higher than 25%. In 2002, the interest rate has been increased to 30%, a level above inflation rate.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1992 the Central bank of Uzbekistan (CBU) started to use reserve requirements for the commercial banks as an instrument of monetary policy to regulate the money supply. Reserve requirements have been applied to the national currency bank deposits only. However, although the Central Bank has a legal right to pay interest on the reserve deposits, it has chosen not to do so. This was negatively reflected in profitability of banks.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At present, CBU continues to use the reserve requirement instrument. However, the initial rate of 30% for the loans with maturity up to 3 years has been cut steadily to 20% for local currency deposits. The liquidity impact of the measure was neutralised with the auctioning of Treasury bills yielding interest 1.5-2 percentage points higher than the rates ordinarily paid in Treasury bill auctions. This step resulted in an improvement in the income position of banks, since required reserves are not remunerated.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Open market operations were never really used by the Central Bank of Uzbekistan since magnitude of securities issued by the Central Bank was very small and access to these securities was restricted. Even when issued, the Central Bank securities earned negative interest rates in real terms that made them less than attractive to the limited number of players.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common with other economies with the negative real interest rates and low confidence in banks (which in Uzbekistan was induced by the freezing of bank deposits during currency conversion in 1993-1994), Uzbekistan has been experiencing significant problems attracting deposits from the public. Individuals preferred to hold cash for short-term transactions and foreign currencies (primary US dollar) as long-term investments.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interbank money market was established by the authorities in early 1996 as part of the Central Bank’s development of the instruments of monetary policy. The interbank money market quickly became an important source for a number of banks to solve their short-term liquidity problems. This made commercial banks more interdependent, which had a risk of contagion effect in case of failure of some individual bank.</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interbank market has not fully regulated the funds surpluses and deficits among commercial banks of Uzbekistan. The Narodny (savings) bank has been the only bank consistently generating cheap funds to offer to the market, reflecting its dominant position in attracting savings from the public. Almost half of funds on offer in interbank market have originated from the Narodny bank. The Central Bank effectively controls all transactions and the terms of interbank loans.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Payments system In July 1996, a complete electronic payment clearing system was introduced by the Central Bank, covering whole Uzbekistan. Before this, very slow and unreliable payment clearances occurred, particular in provincial areas. All national currency transactions are made using the clearing accounts of the CBU. The </w:t>
      </w:r>
      <w:proofErr w:type="gramStart"/>
      <w:r w:rsidRPr="00C40532">
        <w:rPr>
          <w:rFonts w:ascii="Times New Roman" w:hAnsi="Times New Roman" w:cs="Times New Roman"/>
          <w:sz w:val="24"/>
          <w:szCs w:val="24"/>
          <w:lang w:val="en-US"/>
        </w:rPr>
        <w:t>network of branches of the Central Bank cover</w:t>
      </w:r>
      <w:proofErr w:type="gramEnd"/>
      <w:r w:rsidRPr="00C40532">
        <w:rPr>
          <w:rFonts w:ascii="Times New Roman" w:hAnsi="Times New Roman" w:cs="Times New Roman"/>
          <w:sz w:val="24"/>
          <w:szCs w:val="24"/>
          <w:lang w:val="en-US"/>
        </w:rPr>
        <w:t xml:space="preserve"> all regions. </w:t>
      </w:r>
      <w:r w:rsidRPr="00C40532">
        <w:rPr>
          <w:rFonts w:ascii="Times New Roman" w:hAnsi="Times New Roman" w:cs="Times New Roman"/>
          <w:sz w:val="24"/>
          <w:szCs w:val="24"/>
          <w:lang w:val="en-US"/>
        </w:rPr>
        <w:lastRenderedPageBreak/>
        <w:t>Until 2003, regional branches of all banks had to have separate accounts with the CBU. Since 2003, one clearing account (with the CBU) has been introduced.</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Accounting standards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November 1996, the Board of the CBU adopted a new charter of accounts for the CBU and the commercial banks. The new accounting system was introduced in March 1997 and has improved the quality of monetary statistics. However, commercial banks have experienced difficulties in using the new system. In addition, risk </w:t>
      </w:r>
      <w:proofErr w:type="gramStart"/>
      <w:r w:rsidRPr="00C40532">
        <w:rPr>
          <w:rFonts w:ascii="Times New Roman" w:hAnsi="Times New Roman" w:cs="Times New Roman"/>
          <w:sz w:val="24"/>
          <w:szCs w:val="24"/>
          <w:lang w:val="en-US"/>
        </w:rPr>
        <w:t>assessment, and the corresponding classification of loans in commercial banks’ balance sheets, remain</w:t>
      </w:r>
      <w:proofErr w:type="gramEnd"/>
      <w:r w:rsidRPr="00C40532">
        <w:rPr>
          <w:rFonts w:ascii="Times New Roman" w:hAnsi="Times New Roman" w:cs="Times New Roman"/>
          <w:sz w:val="24"/>
          <w:szCs w:val="24"/>
          <w:lang w:val="en-US"/>
        </w:rPr>
        <w:t xml:space="preserve"> impaired by the fact that enterprises typically do not perform bookkeeping in accordance with internationally accepted accounting standards, and banks are inexperienced in risk assessment and risk management (IMF, 1998). Moreover, off-balance sheet reports require further enhancement, as they do not provide a comprehensive coverage of trade finance operations, operations with derivatives, and other contingent liabilities.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To encourage commercial banks to undertake an audit under international accounting standards and involving internationally recognised auditors, the CBU decided to pay for international audits of all Uzbek banks for the financial year 1996. Since then, an increasing number of commercial banks have started to use the services of international auditors. The Central Bank itself has not undertaken external audits up to the financial year 2002, when the Deloitte and Touche won a tender to do its first audit.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Regulation and supervision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Regulation and supervision are important functions of central banks. The Central Bank of Uzbekistan made </w:t>
      </w:r>
      <w:proofErr w:type="gramStart"/>
      <w:r w:rsidRPr="00C40532">
        <w:rPr>
          <w:rFonts w:ascii="Times New Roman" w:hAnsi="Times New Roman" w:cs="Times New Roman"/>
          <w:sz w:val="24"/>
          <w:szCs w:val="24"/>
          <w:lang w:val="en-US"/>
        </w:rPr>
        <w:t>an</w:t>
      </w:r>
      <w:proofErr w:type="gramEnd"/>
      <w:r w:rsidRPr="00C40532">
        <w:rPr>
          <w:rFonts w:ascii="Times New Roman" w:hAnsi="Times New Roman" w:cs="Times New Roman"/>
          <w:sz w:val="24"/>
          <w:szCs w:val="24"/>
          <w:lang w:val="en-US"/>
        </w:rPr>
        <w:t xml:space="preserve"> first important step in this direction in 1992, by issuing the instruction “Rules to regulate the activity of commercial banks”. These rules determined the order of formation, planning and use of credit resources, trying to reflect the lack of sufficient skills in commercial banks to manage liquidity and regulate risks. Since that time, however, the rules have bee revised several times.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1997, a regulatory framework was adopted by the Central Bank of Uzbekistan, including procedures for the reorganisation of commercial banks; requirements for the reporting to the Central Bank; procedures for registration, licensing, the liquidation of the banks; and penalties for violating banking regulations.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All commercial banks are required to submit on the monthly basis1 twenty-one financial reports, including a balance sheet, income statement, cash-flow statement and other documents. The final report covers thirteen prudential ratios (3 capital adequacy, 1 liquidity, 3 lending, 3 securities investments and 3 insider operations ratios) that all commercial banks are required to comply with.</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Capital adequacy ratios generally comply with current Basel requirements. However, the usual practice of Uzbek banks is to over-report the value of the capital. This is due to the fact than in many cases the shareholders contribution made in kind (as buildings, inventory, etc.). As there is no liquid market for such goods in Uzbekistan, valuation is somewhat difficult. In most cases, the value of such assets is made at the book value, which is often far different (higher) from marketable value. Latest proposals made by the Basel committee to change the approaches of calculation capital adequacy have not been reflected yet in the Central Bank’s supervision regulations.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general, requirements for the risk assessment of the portfolio are very weak. Banks are not encouraged to make objective risk assessments of the portfolio and, make provision and recognise loan losses on that basis. They prefer to rollover overdue loans instead of reporting them as non-performing, i.e. overstating the quality of banks assets.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spite of a number of drawbacks, accounting standards and comprehensiveness of documents submitted to the CBU’s supervision reports are among the most sophisticated in the former USSR.</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lastRenderedPageBreak/>
        <w:t xml:space="preserve">1.1.2 Commercial banking sector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Uzbekistan’s banking sector has played an important role in the implementation of the country’s import substitution policies. A large proportion of the government’s foreign borrowings for the state-led investment programme has been channelled though the six largest state-owned banks.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At October 2003, there were 34 commercial banks in Uzbekistan: two state banks (fully and directly owned by the government), 2 stateowned joint–stock banks, 10 indirectly state-owned (via state-owned companies and organizations) joint-stock commercial banks, 15 private banks, 4 joint-stock banks with foreign participation and 1 subsidiary of foreign bank. 28 banks were licensed to carry out foreign currency transactions, but the bulk of foreign exchange transactions were conducted by the NBU. In addition, there are 8 representative offices of foreign banks registered in Uzbekistan.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NBU, a state owned bank, is the largest commercial institution in Uzbekistan. At the end of 2001, it accounted for 75 percent of total assets, and 60 percent of total capital of banking system. Moreover, it accounted for nearly 70 percent of total commercial bank loans and about 85 percent of all transactions (including trade finance) in foreign currency. Foreign investment in the banking area not related to the NBU is limited.</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development of commercial banking has been affected in Uzbekistan by direct government intervention in foreign exchange and financial markets. Initially the rule limiting enterprises to hold accounts with one bank was introduced, which seriously undermined competition among banks. Moreover, enterprise deposits were allowed to be withdrawn only for the payment of wages and travel expenses, in accordance with quarterly cash plans. Both rules were abolished at a later stage (in 1998 and 2002 correspondingly) that should improve the competition among banks and increase the trustworthiness of the banking sector. However, cash plans were de-facto not completely abolished as secret “oral” orders of the Central bank officials forced the banks to limit withdrawals by enterprises. The system of cash planning seriously undermines confidence in the commercial banking system and should be dismantled. Banks should be fully delegated the responsibility for their own liquidity management. Two further reasons that induce people to stay away from the banks, and firms to reduce bank account activity to the minimum are the tax-enforcing role of the banks for tax authorities and negative real return on savings (see Figure 1). Banks should only be required to breach customer confidentiality where there is evidence of misconduct (such as required in documenting possible tax evasion or money-laundering activity). Freezing up customer funds (which often happens) should only be a last resort and any frozen funds should be released only in connection with settlement of claims of other creditors.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Without action to bolster confidence in the banking system, there is a risk that dismantling the cash/non-cash restrictions will lead to a significant drain in the liquidity of the banking system, as enterprise managers seek to withdraw non-cash balances from their enterprise bank accounts.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most important commercial banks are controlled by the government and follow the credit policies set by the Republic’s Monetary Policy Commission, which gives priority to sectors in line with agricultural and industrial policies of the government.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Problems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banking system of Uzbekistan is characterized by a small number of relatively sophisticated banks (the NBU and some joint venture and private banks), along with the successors of the formal sectoral (i.e. predicated on the financing of a particular sector of the economy) banks. This second group of banks is undercapitalised, and has low-quality loan portfolios and limited bank management skills. These problems are aggravated by (i) the absence of adequate legal instruments (bankruptcy procedures, assets sequestering, etc.) to protect the integrity of the banks’ assets, (ii) the </w:t>
      </w:r>
      <w:r w:rsidRPr="00C40532">
        <w:rPr>
          <w:rFonts w:ascii="Times New Roman" w:hAnsi="Times New Roman" w:cs="Times New Roman"/>
          <w:sz w:val="24"/>
          <w:szCs w:val="24"/>
          <w:lang w:val="en-US"/>
        </w:rPr>
        <w:lastRenderedPageBreak/>
        <w:t>way banking activity is taxed, and (iii) restrictions on the wage rates of bank staff (in state-owned banks) imposed by the Central Bank in 1999.</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government taxes banks’ profits and wage bills, but does not allow banks to deduct off-setting provisions from their tax liabilities. Profit tax in Uzbekistan is assessed by the authorities and often bears no relation to actual profit; many enterprises are thus overtaxed, even accounting for the cuts in the rate of profit tax (Economic Intelligence Unit, 2003).</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wage restriction problem particularly affected the relatively advanced stateowned banks with better-qualified personnel, such as the National bank and the Asakabank. A good proportion of qualified staff were forced to leave in the search of better-paid opportunities; either in the private sector, or even in other countries.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2000, the Government of Uzbekistan, under the pressure of international financial institutions, particularly IMF initiated a policy of unification of the multiple exchange rate </w:t>
      </w:r>
      <w:proofErr w:type="gramStart"/>
      <w:r w:rsidRPr="00C40532">
        <w:rPr>
          <w:rFonts w:ascii="Times New Roman" w:hAnsi="Times New Roman" w:cs="Times New Roman"/>
          <w:sz w:val="24"/>
          <w:szCs w:val="24"/>
          <w:lang w:val="en-US"/>
        </w:rPr>
        <w:t>regime</w:t>
      </w:r>
      <w:proofErr w:type="gramEnd"/>
      <w:r w:rsidRPr="00C40532">
        <w:rPr>
          <w:rFonts w:ascii="Times New Roman" w:hAnsi="Times New Roman" w:cs="Times New Roman"/>
          <w:sz w:val="24"/>
          <w:szCs w:val="24"/>
          <w:lang w:val="en-US"/>
        </w:rPr>
        <w:t xml:space="preserve">. </w:t>
      </w:r>
      <w:proofErr w:type="gramStart"/>
      <w:r w:rsidRPr="00C40532">
        <w:rPr>
          <w:rFonts w:ascii="Times New Roman" w:hAnsi="Times New Roman" w:cs="Times New Roman"/>
          <w:sz w:val="24"/>
          <w:szCs w:val="24"/>
          <w:lang w:val="en-US"/>
        </w:rPr>
        <w:t>This lead to a significant depreciation of the national currency (132% in 2000, 112% in 2001 and 34% in 2002).</w:t>
      </w:r>
      <w:proofErr w:type="gramEnd"/>
      <w:r w:rsidRPr="00C40532">
        <w:rPr>
          <w:rFonts w:ascii="Times New Roman" w:hAnsi="Times New Roman" w:cs="Times New Roman"/>
          <w:sz w:val="24"/>
          <w:szCs w:val="24"/>
          <w:lang w:val="en-US"/>
        </w:rPr>
        <w:t xml:space="preserve"> For large banks (particularly NBU) that provided foreign-currency loans this automatically resulted in deterioration of loan portfolio quality as many of their borrowers found themselves in difficulties to re-pay at the new exchange rates. Officials of those banks usually denied the resultant significant portfolio deterioration since a vast majority of those loans are in turn state-guaranteed. In principle, banks do not have to provision against government-guaranteed loans, but debt service arrears could nonetheless cause liquidity problems, particularly since current practice has been to capitalise accrued interest, thereby protecting the balance sheet but hurting operating incomes. Accrued interest in NBU’s balance sheet, for example, grew from USD 79 million in 1999 to USD 133 million in 2001.</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government was typically reluctant to re-pay under the guarantee and pushed their own banks to restructure and rollover such loans. Under the pressure of auditors, some of the banks in Uzbekistan published their auditor’s report according to international accounting standards were forced to reconsider their provisioning policy against government-guaranteed loans in the event of exchange rate unification. Together with growing provisions on classified assets in the remaining non-guaranteed portfolio, this has substantially affected large banks profitability, with a return on equity in NBU 6 percent in 2001 and –20% in 2002. According to NBUs own estimate, non-performing loans (including those under government guarantees) might reach around 15 percent of the total loans, if currency unification is fully implemented.</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Since 1999, domestic banks have begun to build up a portfolio of private sector loans, granted on strictly commercial criteria, benefiting in this respect from the institutional support provided under international financial institutions (IFI) credit lines. However, market-based finance remains largely underdeveloped and banks serve only a limited role in the intermediation of domestic savings. The IFI small and medium business (SME) lines are the most important source of funding for credit to smaller domestic enterprises, although the government recently set up a special budget fund to finance subsidised lending to SMEs (EBRD, 2003a).</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1.2 Non-bank Financial Institutions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formation of specialized NBFIs began in 1995 at the instigation of both the government and the private sector. These institutions included the Business Fund for financing small and medium sized business enterprises, the state insurance companies “Madad” and “Uzbekinvest”, UzAIG (joint venture of AIG and NBU), and a number of private insurance and investment companies. Unfortunately, the information available on this sector is very limited and there is no statistical data at all.</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Since their establishment, the success of insurance companies has been controversial. On the one hand, the range and quality of services has steadily improved, but on the other hand, most of the insurance companies found themselves in financial difficulty at some point. The most ambitious </w:t>
      </w:r>
      <w:r w:rsidRPr="00C40532">
        <w:rPr>
          <w:rFonts w:ascii="Times New Roman" w:hAnsi="Times New Roman" w:cs="Times New Roman"/>
          <w:sz w:val="24"/>
          <w:szCs w:val="24"/>
          <w:lang w:val="en-US"/>
        </w:rPr>
        <w:lastRenderedPageBreak/>
        <w:t xml:space="preserve">project – a joint venture of the renowned AIG Corporation and National Bank of Uzbekistan (UzAIG) - has been in financial distress for a number of years.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One of crucial difficulties in assessing the activity of non-bank financial institutions is the absence or significant lack in regulations of this sector. There is no requirement to publish their financial statements in the local press (as for example in case of banks). Indeed, the accounting standards of NBFI’s have not yet been reformed and are lacking in accuracy and presentation.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There were no significant attempts in Uzbekistan to reform the pension system. The single pension fund remains state-run and no private pension institutions have been created.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late-1996, a new type of financial institution was created in Uzbekistan, called the Privatisation Investment Fund (PIF). Under this PIF scheme, it was envisaged to sell 30 percent of the shares of about 300 large enterprises to investment funds in a first implementation phase. It was further expected that in a second phase, shares of 300 more enterprises would be sold. Progress in implementing the scheme has been substantially slower than originally expected, although more than 80 investment funds and management companies have been established, and about 200,000 individuals have bought shares in PIFs. The number of PIFs and volume of their transactions have been steadily decreasing in recent years due to the fact that performance of partially privatised enterprises has been (with very few exceptions) very poor and consequently profitability of the PIF was low or negative. This resulted in sharply reduced interest in the PIF’s activity among the investors.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1.3 Securities Market </w:t>
      </w: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proofErr w:type="gramStart"/>
      <w:r w:rsidRPr="00C40532">
        <w:rPr>
          <w:rFonts w:ascii="Times New Roman" w:hAnsi="Times New Roman" w:cs="Times New Roman"/>
          <w:b/>
          <w:sz w:val="24"/>
          <w:szCs w:val="24"/>
          <w:lang w:val="en-US"/>
        </w:rPr>
        <w:t>Debt instruments.</w:t>
      </w:r>
      <w:proofErr w:type="gramEnd"/>
      <w:r w:rsidRPr="00C40532">
        <w:rPr>
          <w:rFonts w:ascii="Times New Roman" w:hAnsi="Times New Roman" w:cs="Times New Roman"/>
          <w:b/>
          <w:sz w:val="24"/>
          <w:szCs w:val="24"/>
          <w:lang w:val="en-US"/>
        </w:rPr>
        <w:t xml:space="preserve">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securities market is still in the early stage of development in Uzbekistan. Until 1996, the only instruments available for the mobilisation of savings were household saving accounts and term deposits at commercial banks. In March 1996, 3-month Treasury Bills (T-bills) were issued for the first time, and 6-month T-bills started to be issued one year later. The major aim of the issuing of State T-bills for the government was to finance budget deficits out of non-inflationary sources. For the Central Bank, it was an attempt to conduct open market operations to influence market liquidity and market interest rates. These bonds have no coupon and are sold at a discount in auctions held once a month by the Republican Currency Exchange (RCE). As of January 2000, there were 22 dealers (21 bank) authorised to operate in the bond auction as dealers on their own account and on behalf of their clients. A secondary market was created, providing a degree of liquidity for these securities; secondary market auctions are held by the RCE four times a week, and both maturities are traded in the same auction. However, market depth of Tbills is still limited, with only 25 percent of the outstanding stock (or less than 1 percent of GDP) was held by the non-bank public in June 1998 (IMF, 1998). This is primarily due to (i) low yields compared to inflation and the high return on holding foreign currency notes (mainly US dollars) (see Figure 2); (ii) the absence of permission for the banks to sell the bonds to the public outside the auction; and (iii) the non-existence of repurchase agreement operations (repo) between banks and the public, based on the T-bills in banks’ portfolios.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An additional debt instrument available for the public is a certificate of deposit of the banks. They have been in issue since 1995 and are relatively reliable and profitable financial instruments. As it is possible to claim repayment before maturity, they are also relatively liquid instruments too. For commercial banks they represent another method of attracting resources from the public.</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According to the rules set by the Central Bank, two types of deposit certificates are being issued: a one-year term deposit certificate available to legal entities and a three-year term deposit (savings) certificates available to individuals only. Explicit restriction to free circulation of such securities between enterprises and individuals reflects the authorities’ concern with cash and non-</w:t>
      </w:r>
      <w:r w:rsidRPr="00C40532">
        <w:rPr>
          <w:rFonts w:ascii="Times New Roman" w:hAnsi="Times New Roman" w:cs="Times New Roman"/>
          <w:sz w:val="24"/>
          <w:szCs w:val="24"/>
          <w:lang w:val="en-US"/>
        </w:rPr>
        <w:lastRenderedPageBreak/>
        <w:t xml:space="preserve">cash transactions as well as an attempt to reduce inflation by freezing up cash holdings in the form of deposit certificates.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recent years there has been some activity on the corporate bonds market, as regulatory changes removed restrictions on the size of corporate bond issues. The major impetus to this was given by newly established international syndicate, consisting of 19 local and foreign banks and one NBFI, Carthill Asset Management Company. This syndicate began to develop a secondary corporate bond market in April, 2002 and has thus far organised dozens of bond issues worth more than UZS 6 billion. Recently a couple of larger banks, “UzJilSberBank” and NBU, started to develop similar services for their corporate clients. This is good option for the banks to keep their excess liquidity since most of the issues offer competitive interest rates. However, there are significant constraints in the development of the market. Perhaps the most important impediment is the small number of companies through which bonds would be demanded on the market. Another important constraint is the weak business environment in Uzbekistan in general that does not encourage businesses to expand their activity. Moreover, investor protection concerns have been raised based on the inadequacy of financial disclosure and the absence of an independent and credible credit rating agency.</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 xml:space="preserve">Equity market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From 1994 to 1996, the development of the stock exchange took place alongside the development of the market economy, including the privatisation and demonopolisation process.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Uzbekistan, it was announced that the gradual approach to structural reform would be adopted (Karimov, 1995). In line with it, the pace of privatisation has thus far been rather slow. Privatisation has been taken place in three stages. The first stage concentrated on housing units and small enterprises, mainly in the service sector, and was largely completed by 1995, with 90 percent of small enterprises being privatised. The second stage, which involved the creation of privatisation investment funds, began in late 1996 and is still being implemented. These privately owned funds purchased shares in selected medium- and large - scale enterprises. In turn, the public was able to purchase shares in the funds. The third stage, a case-by-case privatisation of large enterprises, began in 1998 but with limited results.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Today, the market for the shares of privatised enterprises is still small in terms of quantity, variety, and volume of transactions (see Table 3) conducted through the stock exchange. The slow pace of privatisation, as well as approach chosen for privatisation, has negatively influenced activity in equity market of Uzbekistan. Shares have simply been distributed among the companies themselves (in the form of bonuses), to selected foreign investors, outside shareholders, and to the state. Investors, who obtained shares in this way, had neither any real incentive nor any real opportunities to trade these securities. The low interest of potential investors in equities also reflects the absence of reliable information about the issuers of shares and the subsequent high risk of such investments. The situation was worsened by poor legislative support and a lack of knowledge and skills both by market participants themselves and the population of the country in general.</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the first case the situation was such, that until late 1996 the only two laws existed, which were “On Securities and Stock Market” and “On Economic Societies”. The regulations issued by the various regulatory bodies often contain obscure and even contradictory passages that complicated the functioning of the market. More recent legislation (the laws “On the Mechanism of Security Market Functioning” and “On Joint Stock Societies and Protection of Shareholders’ Rights”) has somewhat improved the situation, but not entirely. The most urgent improvements needed are definition as to the regulation of some types of professional participants’ activity, as well as removal of contradictions present in legal and regulatory documents. As at 1st May, 2000 the regulatory documents can be summarised as follows: 9 Laws, 11 Presidential Decrees, and 31 Orders of Resolutions of the Cabinet of Ministers of the Republic of Uzbekistan are in place.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 xml:space="preserve">The Republic’s Stock Exchange “Tashkent” (RSET) – the only stock exchange in Uzbekistan – was established in January 1994. Since its establishment, activity has been mainly connected with servicing new issues of securities as part of the privatisation process. The volume of transactions on secondary market has been increasing, but the pace was rather slow. This was caused by a number of factors: (i) absence of reliable assessment of companies’ performances whose securities are traded; (ii) low trust and knowledge of potential shareholders in stock market; (iii) failure by most joint-stock companies to pay reasonable dividends; and </w:t>
      </w:r>
      <w:proofErr w:type="gramStart"/>
      <w:r w:rsidRPr="00C40532">
        <w:rPr>
          <w:rFonts w:ascii="Times New Roman" w:hAnsi="Times New Roman" w:cs="Times New Roman"/>
          <w:sz w:val="24"/>
          <w:szCs w:val="24"/>
          <w:lang w:val="en-US"/>
        </w:rPr>
        <w:t>(iv) investors</w:t>
      </w:r>
      <w:proofErr w:type="gramEnd"/>
      <w:r w:rsidRPr="00C40532">
        <w:rPr>
          <w:rFonts w:ascii="Times New Roman" w:hAnsi="Times New Roman" w:cs="Times New Roman"/>
          <w:sz w:val="24"/>
          <w:szCs w:val="24"/>
          <w:lang w:val="en-US"/>
        </w:rPr>
        <w:t xml:space="preserve"> who own securities of well-performing companies prefer to hold securities rather than trade them. Since 2000, RSET started to calculate share index called “Tasix”.</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There are currently 794 former state-owned enterprises whose shares are traded on the C-list of the RSET, the list designated for privatised enterprises that meet certain requirements2 , although all former state-owned enterprises are eligible for trading on the exchange and over-the-counter (OTC) market (Asian Development Bank, 2003).</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Based on high listing </w:t>
      </w:r>
      <w:proofErr w:type="gramStart"/>
      <w:r w:rsidRPr="00C40532">
        <w:rPr>
          <w:rFonts w:ascii="Times New Roman" w:hAnsi="Times New Roman" w:cs="Times New Roman"/>
          <w:sz w:val="24"/>
          <w:szCs w:val="24"/>
          <w:lang w:val="en-US"/>
        </w:rPr>
        <w:t>standards3 ,</w:t>
      </w:r>
      <w:proofErr w:type="gramEnd"/>
      <w:r w:rsidRPr="00C40532">
        <w:rPr>
          <w:rFonts w:ascii="Times New Roman" w:hAnsi="Times New Roman" w:cs="Times New Roman"/>
          <w:sz w:val="24"/>
          <w:szCs w:val="24"/>
          <w:lang w:val="en-US"/>
        </w:rPr>
        <w:t xml:space="preserve"> only six companies, four of which are banks, are listed on the A-list of the RSET. Although B-list requirements are lower, no companies have qualified for it (Asian Development Bank, 2003). Less than 1% of secondary trading in listed shares takes place on a formal OTC market “Elsis Savdo”, which is controlled by the National Bank of Uzbekistan. Most secondary trading of listed shares (about 81%) takes place on an unregulated informal secondary OTC “curb market”</w:t>
      </w:r>
      <w:proofErr w:type="gramStart"/>
      <w:r w:rsidRPr="00C40532">
        <w:rPr>
          <w:rFonts w:ascii="Times New Roman" w:hAnsi="Times New Roman" w:cs="Times New Roman"/>
          <w:sz w:val="24"/>
          <w:szCs w:val="24"/>
          <w:lang w:val="en-US"/>
        </w:rPr>
        <w:t>4 .</w:t>
      </w:r>
      <w:proofErr w:type="gramEnd"/>
      <w:r w:rsidRPr="00C40532">
        <w:rPr>
          <w:rFonts w:ascii="Times New Roman" w:hAnsi="Times New Roman" w:cs="Times New Roman"/>
          <w:sz w:val="24"/>
          <w:szCs w:val="24"/>
          <w:lang w:val="en-US"/>
        </w:rPr>
        <w:t xml:space="preserve"> Transaction costs on the RSET are high (3.7%- 5.7%) but have come down due to competition from the curb market. Significant decisions taken by RSET are subject to Centre for Coordination of Functioning of Securities Market oversight. Most securities participants are affiliated with the banking sector.</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Depositary - basic element of securities market infrastructure – was been established in 1994. It is currently the only registration and depositary system available in Uzbekistan. Its main functions are to provide share registration, the dematerialised deposit of shares and transfer of ownership (settlement of securities) for transactions concluded through the Tashkent Stock Exchange.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Around 30 information analytical, consulting, rating, evaluating, and auditing organisations, more than 650 investment funds, management and investment companies, brokerage and dealer’s firms currently comprise other elements of the market infrastructure in Uzbekistan.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pStyle w:val="a4"/>
        <w:numPr>
          <w:ilvl w:val="0"/>
          <w:numId w:val="36"/>
        </w:numPr>
        <w:shd w:val="clear" w:color="auto" w:fill="FFFFFF"/>
        <w:tabs>
          <w:tab w:val="left" w:pos="851"/>
        </w:tabs>
        <w:spacing w:after="0" w:line="240" w:lineRule="auto"/>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The composition of the</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Kyrgyzstan</w:t>
      </w:r>
      <w:r w:rsidRPr="00C40532">
        <w:rPr>
          <w:rFonts w:ascii="Times New Roman" w:hAnsi="Times New Roman" w:cs="Times New Roman"/>
          <w:b/>
          <w:sz w:val="24"/>
          <w:szCs w:val="24"/>
          <w:lang w:val="en-US"/>
        </w:rPr>
        <w:t>.</w:t>
      </w:r>
    </w:p>
    <w:p w:rsidR="00472A60" w:rsidRPr="00C40532" w:rsidRDefault="00472A60" w:rsidP="00472A60">
      <w:pPr>
        <w:pBdr>
          <w:bottom w:val="single" w:sz="6" w:space="0" w:color="AAAAAA"/>
        </w:pBdr>
        <w:spacing w:after="0" w:line="240" w:lineRule="auto"/>
        <w:ind w:firstLine="567"/>
        <w:outlineLvl w:val="0"/>
        <w:rPr>
          <w:rFonts w:ascii="Times New Roman" w:hAnsi="Times New Roman" w:cs="Times New Roman"/>
          <w:b/>
          <w:color w:val="000000"/>
          <w:kern w:val="36"/>
          <w:sz w:val="24"/>
          <w:szCs w:val="24"/>
          <w:lang w:val="en-US"/>
        </w:rPr>
      </w:pPr>
      <w:r w:rsidRPr="00C40532">
        <w:rPr>
          <w:rFonts w:ascii="Times New Roman" w:hAnsi="Times New Roman" w:cs="Times New Roman"/>
          <w:b/>
          <w:color w:val="000000"/>
          <w:kern w:val="36"/>
          <w:sz w:val="24"/>
          <w:szCs w:val="24"/>
          <w:lang w:val="en-US"/>
        </w:rPr>
        <w:t>Banking in Kyrgyzstan</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In mid-1995, the</w:t>
      </w:r>
      <w:r w:rsidRPr="00C40532">
        <w:rPr>
          <w:rStyle w:val="apple-converted-space"/>
          <w:lang w:val="en-US"/>
        </w:rPr>
        <w:t> </w:t>
      </w:r>
      <w:r w:rsidRPr="00C40532">
        <w:rPr>
          <w:bCs/>
          <w:lang w:val="en-US"/>
        </w:rPr>
        <w:t>banking system in</w:t>
      </w:r>
      <w:r w:rsidRPr="00C40532">
        <w:rPr>
          <w:rStyle w:val="apple-converted-space"/>
          <w:bCs/>
          <w:lang w:val="en-US"/>
        </w:rPr>
        <w:t> </w:t>
      </w:r>
      <w:r w:rsidR="00AA3725">
        <w:fldChar w:fldCharType="begin"/>
      </w:r>
      <w:r w:rsidR="00AA3725" w:rsidRPr="003E0431">
        <w:rPr>
          <w:lang w:val="en-US"/>
        </w:rPr>
        <w:instrText>HYPERLINK "https://en.wikipedia.org/wiki/Kyrgyzstan" \o "Kyrgyzstan"</w:instrText>
      </w:r>
      <w:r w:rsidR="00AA3725">
        <w:fldChar w:fldCharType="separate"/>
      </w:r>
      <w:r w:rsidRPr="00C40532">
        <w:rPr>
          <w:rStyle w:val="a5"/>
          <w:bCs/>
          <w:lang w:val="en-US"/>
        </w:rPr>
        <w:t>Kyrgyzstan</w:t>
      </w:r>
      <w:r w:rsidR="00AA3725">
        <w:fldChar w:fldCharType="end"/>
      </w:r>
      <w:r w:rsidRPr="00C40532">
        <w:rPr>
          <w:rStyle w:val="apple-converted-space"/>
          <w:lang w:val="en-US"/>
        </w:rPr>
        <w:t> </w:t>
      </w:r>
      <w:r w:rsidRPr="00C40532">
        <w:rPr>
          <w:lang w:val="en-US"/>
        </w:rPr>
        <w:t>continued to be dominated by the central savings bank (the</w:t>
      </w:r>
      <w:r w:rsidRPr="00C40532">
        <w:rPr>
          <w:rStyle w:val="apple-converted-space"/>
          <w:lang w:val="en-US"/>
        </w:rPr>
        <w:t> </w:t>
      </w:r>
      <w:r w:rsidR="00AA3725">
        <w:fldChar w:fldCharType="begin"/>
      </w:r>
      <w:r w:rsidR="00AA3725" w:rsidRPr="003E0431">
        <w:rPr>
          <w:lang w:val="en-US"/>
        </w:rPr>
        <w:instrText>HYPERLINK "https://en.wikipedia.org/wiki/National_Bank_of_Kyrgyzstan" \o "National Bank of Kyrgyzstan"</w:instrText>
      </w:r>
      <w:r w:rsidR="00AA3725">
        <w:fldChar w:fldCharType="separate"/>
      </w:r>
      <w:r w:rsidRPr="00C40532">
        <w:rPr>
          <w:rStyle w:val="a5"/>
          <w:lang w:val="en-US"/>
        </w:rPr>
        <w:t>National Bank of Kyrgyzstan</w:t>
      </w:r>
      <w:r w:rsidR="00AA3725">
        <w:fldChar w:fldCharType="end"/>
      </w:r>
      <w:r w:rsidRPr="00C40532">
        <w:rPr>
          <w:lang w:val="en-US"/>
        </w:rPr>
        <w:t>, created in 1991) and by the three major commercial banks that succeeded the sectoral banks of the Soviet era and remained under state control. Those banks, the Agricultural and Industrial Bank (</w:t>
      </w:r>
      <w:r w:rsidR="00AA3725">
        <w:fldChar w:fldCharType="begin"/>
      </w:r>
      <w:r w:rsidR="00AA3725" w:rsidRPr="003E0431">
        <w:rPr>
          <w:lang w:val="en-US"/>
        </w:rPr>
        <w:instrText>HYPERLINK "https://en.wikipedia.org/w/index.php?title=Agroprombank&amp;action=edit&amp;redlink=1" \o "Agroprombank (page does not exist)"</w:instrText>
      </w:r>
      <w:r w:rsidR="00AA3725">
        <w:fldChar w:fldCharType="separate"/>
      </w:r>
      <w:r w:rsidRPr="00C40532">
        <w:rPr>
          <w:rStyle w:val="a5"/>
          <w:lang w:val="en-US"/>
        </w:rPr>
        <w:t>Agroprombank</w:t>
      </w:r>
      <w:r w:rsidR="00AA3725">
        <w:fldChar w:fldCharType="end"/>
      </w:r>
      <w:r w:rsidRPr="00C40532">
        <w:rPr>
          <w:lang w:val="en-US"/>
        </w:rPr>
        <w:t>), the Industrial and Construction Bank (</w:t>
      </w:r>
      <w:r w:rsidR="00AA3725">
        <w:fldChar w:fldCharType="begin"/>
      </w:r>
      <w:r w:rsidR="00AA3725" w:rsidRPr="003E0431">
        <w:rPr>
          <w:lang w:val="en-US"/>
        </w:rPr>
        <w:instrText>HYPERLINK "https://en.wikipedia.org/w/index.php?title=Promstroybank&amp;action=edit&amp;redlink=1" \o "Promstroybank (page does not exist)"</w:instrText>
      </w:r>
      <w:r w:rsidR="00AA3725">
        <w:fldChar w:fldCharType="separate"/>
      </w:r>
      <w:r w:rsidRPr="00C40532">
        <w:rPr>
          <w:rStyle w:val="a5"/>
          <w:lang w:val="en-US"/>
        </w:rPr>
        <w:t>Promstroybank</w:t>
      </w:r>
      <w:r w:rsidR="00AA3725">
        <w:fldChar w:fldCharType="end"/>
      </w:r>
      <w:r w:rsidRPr="00C40532">
        <w:rPr>
          <w:lang w:val="en-US"/>
        </w:rPr>
        <w:t>), and the</w:t>
      </w:r>
      <w:r w:rsidRPr="00C40532">
        <w:rPr>
          <w:rStyle w:val="apple-converted-space"/>
          <w:lang w:val="en-US"/>
        </w:rPr>
        <w:t> </w:t>
      </w:r>
      <w:r w:rsidR="00AA3725">
        <w:fldChar w:fldCharType="begin"/>
      </w:r>
      <w:r w:rsidR="00AA3725" w:rsidRPr="003E0431">
        <w:rPr>
          <w:lang w:val="en-US"/>
        </w:rPr>
        <w:instrText>HYPERLINK "https://en.wikipedia.org/w/index.php?title=Commercial_Bank_of_Kyrgyzstan&amp;action=edit&amp;redlink=1" \o "Commercial Bank of Kyrgyzstan (page does not exist)"</w:instrText>
      </w:r>
      <w:r w:rsidR="00AA3725">
        <w:fldChar w:fldCharType="separate"/>
      </w:r>
      <w:r w:rsidRPr="00C40532">
        <w:rPr>
          <w:rStyle w:val="a5"/>
          <w:lang w:val="en-US"/>
        </w:rPr>
        <w:t>Commercial Bank of Kyrgyzstan</w:t>
      </w:r>
      <w:r w:rsidR="00AA3725">
        <w:fldChar w:fldCharType="end"/>
      </w:r>
      <w:r w:rsidRPr="00C40532">
        <w:rPr>
          <w:lang w:val="en-US"/>
        </w:rPr>
        <w:t>, owned 85 percent of banking assets in 1994.</w:t>
      </w:r>
    </w:p>
    <w:p w:rsidR="00472A60" w:rsidRPr="00C40532" w:rsidRDefault="00472A60" w:rsidP="00472A60">
      <w:pPr>
        <w:pStyle w:val="a6"/>
        <w:shd w:val="clear" w:color="auto" w:fill="FFFFFF"/>
        <w:spacing w:before="0" w:beforeAutospacing="0" w:after="0" w:afterAutospacing="0"/>
        <w:ind w:firstLine="567"/>
        <w:jc w:val="both"/>
        <w:rPr>
          <w:color w:val="252525"/>
          <w:lang w:val="en-US"/>
        </w:rPr>
      </w:pPr>
      <w:r w:rsidRPr="00C40532">
        <w:rPr>
          <w:color w:val="252525"/>
          <w:lang w:val="en-US"/>
        </w:rPr>
        <w:t>New commercial banks, of which fifteen were established in 1993 and 1994, were owned by individuals or enterprises and had much less financial power than the state-owned banks. The new commercial banks have the right to buy and sell foreign currency and open deposit accounts. The National Bank is the official center of</w:t>
      </w:r>
      <w:r w:rsidRPr="00C40532">
        <w:rPr>
          <w:rStyle w:val="apple-converted-space"/>
          <w:color w:val="252525"/>
          <w:lang w:val="en-US"/>
        </w:rPr>
        <w:t> </w:t>
      </w:r>
      <w:r w:rsidR="00AA3725">
        <w:fldChar w:fldCharType="begin"/>
      </w:r>
      <w:r w:rsidR="00AA3725" w:rsidRPr="003E0431">
        <w:rPr>
          <w:lang w:val="en-US"/>
        </w:rPr>
        <w:instrText>HYPERLINK "https://en.wikipedia.org/wiki/Currency" \o "Currency"</w:instrText>
      </w:r>
      <w:r w:rsidR="00AA3725">
        <w:fldChar w:fldCharType="separate"/>
      </w:r>
      <w:r w:rsidRPr="00C40532">
        <w:rPr>
          <w:rStyle w:val="a5"/>
          <w:color w:val="0B0080"/>
          <w:lang w:val="en-US"/>
        </w:rPr>
        <w:t>currency</w:t>
      </w:r>
      <w:r w:rsidR="00AA3725">
        <w:fldChar w:fldCharType="end"/>
      </w:r>
      <w:r w:rsidRPr="00C40532">
        <w:rPr>
          <w:rStyle w:val="apple-converted-space"/>
          <w:color w:val="252525"/>
          <w:lang w:val="en-US"/>
        </w:rPr>
        <w:t> </w:t>
      </w:r>
      <w:r w:rsidRPr="00C40532">
        <w:rPr>
          <w:color w:val="252525"/>
          <w:lang w:val="en-US"/>
        </w:rPr>
        <w:t>exchange, but in the mid-1990s it did not adhere to official exchange rates. In mid-1994, the government established the Bank for Reconstruction and Development, which uses state funds, foreign currency assets, and loans from abroad to aid small and medium-sized enterprises and to invest in targeted spheres of the economy, especially</w:t>
      </w:r>
      <w:r w:rsidRPr="00C40532">
        <w:rPr>
          <w:rStyle w:val="apple-converted-space"/>
          <w:color w:val="252525"/>
          <w:lang w:val="en-US"/>
        </w:rPr>
        <w:t> </w:t>
      </w:r>
      <w:r w:rsidR="00AA3725">
        <w:fldChar w:fldCharType="begin"/>
      </w:r>
      <w:r w:rsidR="00AA3725" w:rsidRPr="003E0431">
        <w:rPr>
          <w:lang w:val="en-US"/>
        </w:rPr>
        <w:instrText>HYPERLINK "https://en.wikipedia.org/wiki/House" \o "House"</w:instrText>
      </w:r>
      <w:r w:rsidR="00AA3725">
        <w:fldChar w:fldCharType="separate"/>
      </w:r>
      <w:r w:rsidRPr="00C40532">
        <w:rPr>
          <w:rStyle w:val="a5"/>
          <w:color w:val="0B0080"/>
          <w:lang w:val="en-US"/>
        </w:rPr>
        <w:t>housing</w:t>
      </w:r>
      <w:r w:rsidR="00AA3725">
        <w:fldChar w:fldCharType="end"/>
      </w:r>
      <w:r w:rsidRPr="00C40532">
        <w:rPr>
          <w:color w:val="252525"/>
          <w:lang w:val="en-US"/>
        </w:rPr>
        <w:t xml:space="preserve">, construction, power generation, and agriculture. </w:t>
      </w:r>
    </w:p>
    <w:p w:rsidR="00472A60" w:rsidRPr="00C40532" w:rsidRDefault="00472A60" w:rsidP="00472A60">
      <w:pPr>
        <w:pStyle w:val="a6"/>
        <w:shd w:val="clear" w:color="auto" w:fill="FFFFFF"/>
        <w:spacing w:before="0" w:beforeAutospacing="0" w:after="0" w:afterAutospacing="0"/>
        <w:ind w:firstLine="567"/>
        <w:jc w:val="both"/>
        <w:rPr>
          <w:color w:val="252525"/>
          <w:lang w:val="en-US"/>
        </w:rPr>
      </w:pPr>
      <w:r w:rsidRPr="00C40532">
        <w:rPr>
          <w:color w:val="252525"/>
          <w:lang w:val="en-US"/>
        </w:rPr>
        <w:t xml:space="preserve">The banking system has remained concentrated in the same areas as in the Soviet period. Although some diversification has occurred, loans tend to go to traditional clients. Because new commercial banks are small and initially were owned by state ministries and state-owned </w:t>
      </w:r>
      <w:r w:rsidRPr="00C40532">
        <w:rPr>
          <w:color w:val="252525"/>
          <w:lang w:val="en-US"/>
        </w:rPr>
        <w:lastRenderedPageBreak/>
        <w:t>enterprises, competition has developed slowly. Through 1994 Soviet-style accounting and reporting systems remained in use, and banking services such as domestic and international payments have remained at the same noncompetitive level as they were prior to 1991.</w:t>
      </w:r>
      <w:r w:rsidRPr="00C40532">
        <w:rPr>
          <w:rStyle w:val="apple-converted-space"/>
          <w:color w:val="252525"/>
          <w:lang w:val="en-US"/>
        </w:rPr>
        <w:t> </w:t>
      </w:r>
      <w:r w:rsidRPr="00C40532">
        <w:rPr>
          <w:color w:val="252525"/>
          <w:lang w:val="en-US"/>
        </w:rPr>
        <w:t xml:space="preserve">Capabilities vital to a market-type economy, such as credit risk assessment and project appraisal, are lacking. Post-Soviet regulations on capital funds, exposure limits, and lending practices have not been enforced. The technical infrastructure of the banks also requires substantial overhaul. In addition, the National Bank has been plagued by scandal; the first director, an Akayev protégé, was linked to several illegal financial operations in 1993 and 1994. </w:t>
      </w:r>
    </w:p>
    <w:p w:rsidR="00472A60" w:rsidRPr="00C40532" w:rsidRDefault="00472A60" w:rsidP="00472A60">
      <w:pPr>
        <w:pStyle w:val="a6"/>
        <w:shd w:val="clear" w:color="auto" w:fill="FFFFFF"/>
        <w:spacing w:before="0" w:beforeAutospacing="0" w:after="0" w:afterAutospacing="0"/>
        <w:ind w:firstLine="567"/>
        <w:jc w:val="both"/>
        <w:rPr>
          <w:color w:val="252525"/>
          <w:lang w:val="en-US"/>
        </w:rPr>
      </w:pPr>
      <w:r w:rsidRPr="00C40532">
        <w:rPr>
          <w:color w:val="252525"/>
          <w:lang w:val="en-US"/>
        </w:rPr>
        <w:t>The limitations of the banking system have made it unable to efficiently mobilize and allocate financial resources into the national economy. This failure has hindered privatization and other types of economic reform that require substantial amounts of risk capital upon which borrowers can rely. Especially critical are the bad loans held by the three state-owned banks (influenced by government interference in loan decisions, together with poor financial discipline on the part of major enterprises) and eroded capital base. In 1995 the National Bank's outstanding loans to agricultural and industrial enterprises totaled 1 billion som each.</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Structure of the Financial Sector</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Institutional structure of the financial sector in Kyrgyzstan is represented by commercial banks and other financial companies (non-bank financial institutions, insurance companies, </w:t>
      </w:r>
      <w:proofErr w:type="gramStart"/>
      <w:r w:rsidRPr="00C40532">
        <w:rPr>
          <w:rFonts w:ascii="Times New Roman" w:hAnsi="Times New Roman" w:cs="Times New Roman"/>
          <w:sz w:val="24"/>
          <w:szCs w:val="24"/>
          <w:lang w:val="en-US"/>
        </w:rPr>
        <w:t>investment</w:t>
      </w:r>
      <w:proofErr w:type="gramEnd"/>
      <w:r w:rsidRPr="00C40532">
        <w:rPr>
          <w:rFonts w:ascii="Times New Roman" w:hAnsi="Times New Roman" w:cs="Times New Roman"/>
          <w:sz w:val="24"/>
          <w:szCs w:val="24"/>
          <w:lang w:val="en-US"/>
        </w:rPr>
        <w:t xml:space="preserve"> and pension funds, stock exchanges).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6120765" cy="3366295"/>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cstate="print"/>
                    <a:srcRect/>
                    <a:stretch>
                      <a:fillRect/>
                    </a:stretch>
                  </pic:blipFill>
                  <pic:spPr bwMode="auto">
                    <a:xfrm>
                      <a:off x="0" y="0"/>
                      <a:ext cx="6120765" cy="3366295"/>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As of the end of the first half of 2015, assets of the financial sector constituted KGS 178.8 billion or 46.8 percent to GDP, an increase was KGS 28.8 billion compared to the same period of 2014.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banking sector’s share in the total in the total assets of the financial sector constituted 87.4 percent. The share of NBFI and other financial companies accounted for 10.6 percent and 2.0 percent, respectively (Chart 1.2.1).</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lastRenderedPageBreak/>
        <w:drawing>
          <wp:inline distT="0" distB="0" distL="0" distR="0">
            <wp:extent cx="6043295" cy="2961640"/>
            <wp:effectExtent l="19050" t="0" r="0"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srcRect/>
                    <a:stretch>
                      <a:fillRect/>
                    </a:stretch>
                  </pic:blipFill>
                  <pic:spPr bwMode="auto">
                    <a:xfrm>
                      <a:off x="0" y="0"/>
                      <a:ext cx="6043295" cy="2961640"/>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roofErr w:type="gramStart"/>
      <w:r w:rsidRPr="00C40532">
        <w:rPr>
          <w:rFonts w:ascii="Times New Roman" w:hAnsi="Times New Roman" w:cs="Times New Roman"/>
          <w:sz w:val="24"/>
          <w:szCs w:val="24"/>
          <w:lang w:val="en-US"/>
        </w:rPr>
        <w:t>The total loan portfolio of banks and NBFIs in the first half of 2015 increased by 18.3 percent compared to the same period of 2014 and amounted to KGS 103.4 billion or 27.1 percent to GDP.</w:t>
      </w:r>
      <w:proofErr w:type="gramEnd"/>
      <w:r w:rsidRPr="00C40532">
        <w:rPr>
          <w:rFonts w:ascii="Times New Roman" w:hAnsi="Times New Roman" w:cs="Times New Roman"/>
          <w:sz w:val="24"/>
          <w:szCs w:val="24"/>
          <w:lang w:val="en-US"/>
        </w:rPr>
        <w:t xml:space="preserve"> The share of bank loans in the loan portfolio of the financial sector increased by 9.3 p.p. and as of the end of the first half of 2015 constituted 85.8 percent (Chart 1.2.2).</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6023228" cy="3279913"/>
            <wp:effectExtent l="19050" t="0" r="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cstate="print"/>
                    <a:srcRect/>
                    <a:stretch>
                      <a:fillRect/>
                    </a:stretch>
                  </pic:blipFill>
                  <pic:spPr bwMode="auto">
                    <a:xfrm>
                      <a:off x="0" y="0"/>
                      <a:ext cx="6023228" cy="3279913"/>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concentration was still observed in the trading industry (banks) and agriculture (NBFI) within the sectoral structure of the loan portfolio of the financial sector. The aggregate share of the loan portfolio of the financial sector in the above-noted sectors of the economy at the end of the first half of 2015 constituted 55.1 percent of total issued loans or KGS 57.0 billion.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DF3344" w:rsidRDefault="00DF3344" w:rsidP="00472A60">
      <w:pPr>
        <w:shd w:val="clear" w:color="auto" w:fill="FFFFFF"/>
        <w:spacing w:after="0" w:line="240" w:lineRule="auto"/>
        <w:ind w:firstLine="567"/>
        <w:jc w:val="both"/>
        <w:rPr>
          <w:rFonts w:ascii="Times New Roman" w:hAnsi="Times New Roman" w:cs="Times New Roman"/>
          <w:b/>
          <w:sz w:val="24"/>
          <w:szCs w:val="24"/>
          <w:lang w:val="en-US"/>
        </w:rPr>
      </w:pPr>
    </w:p>
    <w:p w:rsidR="00472A60" w:rsidRDefault="00DF3344" w:rsidP="00472A60">
      <w:pPr>
        <w:shd w:val="clear" w:color="auto" w:fill="FFFFFF"/>
        <w:spacing w:after="0" w:line="240" w:lineRule="auto"/>
        <w:ind w:firstLine="567"/>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00472A60" w:rsidRPr="00C40532">
        <w:rPr>
          <w:rFonts w:ascii="Times New Roman" w:hAnsi="Times New Roman" w:cs="Times New Roman"/>
          <w:b/>
          <w:sz w:val="24"/>
          <w:szCs w:val="24"/>
          <w:lang w:val="en-US"/>
        </w:rPr>
        <w:t>Status of the Financial Markets</w:t>
      </w:r>
    </w:p>
    <w:p w:rsidR="00DF3344" w:rsidRPr="00C40532" w:rsidRDefault="00DF3344" w:rsidP="00472A60">
      <w:pPr>
        <w:shd w:val="clear" w:color="auto" w:fill="FFFFFF"/>
        <w:spacing w:after="0" w:line="240" w:lineRule="auto"/>
        <w:ind w:firstLine="567"/>
        <w:jc w:val="both"/>
        <w:rPr>
          <w:rFonts w:ascii="Times New Roman" w:hAnsi="Times New Roman" w:cs="Times New Roman"/>
          <w:b/>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the reviewed period, the situation in the domestic foreign exchange market was still characterized by increased pressure on the exchange rate. The national currency devaluated in nominal terms against deterioration of the geopolitical situation in the region, namely conti-nuation of the embargo between Russia and Western countries.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NBKR still carried out foreign exchange market interventions on sale and purchase of foreign currency in order to smooth out sharp fluctuation of the exchange rate.</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market of interbank borrowings was characterized by increase in the activity of its participants with simultaneous increase of an average weighted interest rate on repo operations.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rates in the market of the state treasury bills and bonds demonstrated upward trend.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Status of the Currency and Money Market</w:t>
      </w:r>
    </w:p>
    <w:p w:rsidR="00472A60" w:rsidRPr="00C40532" w:rsidRDefault="00472A60" w:rsidP="00472A60">
      <w:pPr>
        <w:shd w:val="clear" w:color="auto" w:fill="FFFFFF"/>
        <w:spacing w:after="0" w:line="240" w:lineRule="auto"/>
        <w:ind w:firstLine="567"/>
        <w:jc w:val="both"/>
        <w:rPr>
          <w:rFonts w:ascii="Times New Roman" w:hAnsi="Times New Roman" w:cs="Times New Roman"/>
          <w:b/>
          <w:i/>
          <w:sz w:val="24"/>
          <w:szCs w:val="24"/>
          <w:lang w:val="en-US"/>
        </w:rPr>
      </w:pPr>
      <w:r w:rsidRPr="00C40532">
        <w:rPr>
          <w:rFonts w:ascii="Times New Roman" w:hAnsi="Times New Roman" w:cs="Times New Roman"/>
          <w:b/>
          <w:i/>
          <w:sz w:val="24"/>
          <w:szCs w:val="24"/>
          <w:lang w:val="en-US"/>
        </w:rPr>
        <w:t>Currency Market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the first half of 2015, the currency market of the country was characterized by slight volatility, including the US dollar exchange rate. Dynamics of the foreign currency exchange rate in the domestic market of the Kyrgyz Republic was conditioned by the impact of fundamental factors – strengthening of the US dollar in the world due to recovery of the American economy and policy conducted by the US FRS on the one hand; increased volatility of the Russian ruble due to aggravation of geopolitical situation in the region, on the other hand. The official exchange rate of the US dollar increased since the beginning of the year by 5.4 percent, from KGS 58.8865 to 62.0788/USD 1 as of the end of the reviewed period.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In the reporting period, the effect of external shocks and speculative pressure was regulated by foreign exchange market interventions and other measures of the NBKR, which were focused on smoothing sharp fluctuations of the national currency exchange rate. The National Bank carried out foreign exchange market interventions on sale (to the amount of USD 179.1 million) and purchase of the US dollars (to the amount of USD 40.8 million).</w:t>
      </w: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Money Market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activity of commercial banks increased in the inter-bank market of borrowings due to change in the basis of carrying out monetary policy. In particular, the volume of repo transactions increased by 1.5 times compared to the same indicator of 2014. In general, the situation in the market was stable, ensuring redistribution of liquidity among commercial banks at the expense of inter-bank transactions.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Besides, the volumes of standard inter-bank credit transactions in the national currency decreased down to KGS 161.0 million.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Status of the Securities Market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market of the state treasury bills and bonds, issued by the Ministry of Finance changed in different directions.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In the state treasury bills market, which consisted of 3, 6 and 12 month securities, the total volume supply increased up to KGS 3.0 billion (+14.1 percent), the volume of placement – up to KGS 1.9 billion (+15.3 percent). </w:t>
      </w:r>
      <w:proofErr w:type="gramStart"/>
      <w:r w:rsidRPr="00C40532">
        <w:rPr>
          <w:rFonts w:ascii="Times New Roman" w:hAnsi="Times New Roman" w:cs="Times New Roman"/>
          <w:sz w:val="24"/>
          <w:szCs w:val="24"/>
          <w:lang w:val="en-US"/>
        </w:rPr>
        <w:t>The weighted average revenue of these securities increased by 4.1 percentage points, up to 12.4 percent.</w:t>
      </w:r>
      <w:proofErr w:type="gramEnd"/>
      <w:r w:rsidRPr="00C40532">
        <w:rPr>
          <w:rFonts w:ascii="Times New Roman" w:hAnsi="Times New Roman" w:cs="Times New Roman"/>
          <w:sz w:val="24"/>
          <w:szCs w:val="24"/>
          <w:lang w:val="en-US"/>
        </w:rPr>
        <w:t xml:space="preserve"> 2 and 3 year state treasury bonds were issued in the reporting period. The total volume of declared ST-Bonds issues constituted KGS 2.5 billion, an increase by 3.6 percent compared to the indicator of the same period of 2014. However, physically ST-Bonds were placed to the amount of KGS 1.7 billion, a decrease by 59.6 percent compared to the same indicator of the previous year. Thus, the total weighted average revenue increased by 1.8 percentage point, up to 15.6 percent.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DF3344" w:rsidRDefault="00DF3344" w:rsidP="00472A60">
      <w:pPr>
        <w:shd w:val="clear" w:color="auto" w:fill="FFFFFF"/>
        <w:spacing w:after="0" w:line="240" w:lineRule="auto"/>
        <w:ind w:firstLine="567"/>
        <w:jc w:val="both"/>
        <w:rPr>
          <w:rFonts w:ascii="Times New Roman" w:hAnsi="Times New Roman" w:cs="Times New Roman"/>
          <w:b/>
          <w:sz w:val="24"/>
          <w:szCs w:val="24"/>
          <w:lang w:val="en-US"/>
        </w:rPr>
      </w:pPr>
    </w:p>
    <w:p w:rsidR="00DF3344" w:rsidRDefault="00DF3344" w:rsidP="00472A60">
      <w:pPr>
        <w:shd w:val="clear" w:color="auto" w:fill="FFFFFF"/>
        <w:spacing w:after="0" w:line="240" w:lineRule="auto"/>
        <w:ind w:firstLine="567"/>
        <w:jc w:val="both"/>
        <w:rPr>
          <w:rFonts w:ascii="Times New Roman" w:hAnsi="Times New Roman" w:cs="Times New Roman"/>
          <w:b/>
          <w:sz w:val="24"/>
          <w:szCs w:val="24"/>
          <w:lang w:val="en-US"/>
        </w:rPr>
      </w:pPr>
    </w:p>
    <w:p w:rsidR="00472A60" w:rsidRDefault="00DF3344" w:rsidP="00472A60">
      <w:pPr>
        <w:shd w:val="clear" w:color="auto" w:fill="FFFFFF"/>
        <w:spacing w:after="0" w:line="240" w:lineRule="auto"/>
        <w:ind w:firstLine="567"/>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00472A60" w:rsidRPr="00C40532">
        <w:rPr>
          <w:rFonts w:ascii="Times New Roman" w:hAnsi="Times New Roman" w:cs="Times New Roman"/>
          <w:b/>
          <w:sz w:val="24"/>
          <w:szCs w:val="24"/>
          <w:lang w:val="en-US"/>
        </w:rPr>
        <w:t>BANKING SECTOR</w:t>
      </w:r>
    </w:p>
    <w:p w:rsidR="00DF3344" w:rsidRPr="00C40532" w:rsidRDefault="00DF3344" w:rsidP="00472A60">
      <w:pPr>
        <w:shd w:val="clear" w:color="auto" w:fill="FFFFFF"/>
        <w:spacing w:after="0" w:line="240" w:lineRule="auto"/>
        <w:ind w:firstLine="567"/>
        <w:jc w:val="both"/>
        <w:rPr>
          <w:rFonts w:ascii="Times New Roman" w:hAnsi="Times New Roman" w:cs="Times New Roman"/>
          <w:b/>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Generally, development of the banking sector was characterized by growth of lending volume on the background of some diversification of the loan portfolio. Growth of major indicators of the banking sector: assets, loan portfolio and resource base was observed.</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Growth of financial intermediation on the part of the banks remained on the background of the main indicators of the banking sector outrunning the rates of economic growth.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results of stress testing indicate moderate level of risks in the banking sector.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Major Trends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As of June 30, 201510, 23 commercial banks (including the Bishkek branch of the National Bank of Pakistan) and 314 of their branches operated in the territory of the Kyrgyz Republic, among which there were 14 banks with foreign participation in the capital, including 9 banks with foreign participation in the amount of more than 50 percent. All banking institutions of the country are universal by the type of business.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licenses of “Manas Bank” CJSC11 and “Issyk-Kul” IB OJSC12 for conducting banking operations were revoked. </w:t>
      </w: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Assets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Generally, growth in the volume of all types of the banking sector assets was observed at the end of the reporting period. Assets of the banking sector at the end of the first half of 2015 amounted to KGS 156.2 billion, having increased by 27.0 percent compared to the first half of 2014 (Chart 2.1.1).</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3429828" cy="3092565"/>
            <wp:effectExtent l="19050" t="0" r="0" b="0"/>
            <wp:docPr id="2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cstate="print"/>
                    <a:srcRect/>
                    <a:stretch>
                      <a:fillRect/>
                    </a:stretch>
                  </pic:blipFill>
                  <pic:spPr bwMode="auto">
                    <a:xfrm>
                      <a:off x="0" y="0"/>
                      <a:ext cx="3430797" cy="3093439"/>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Growth of assets was primarily provided by increase of:</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 </w:t>
      </w:r>
      <w:proofErr w:type="gramStart"/>
      <w:r w:rsidRPr="00C40532">
        <w:rPr>
          <w:rFonts w:ascii="Times New Roman" w:hAnsi="Times New Roman" w:cs="Times New Roman"/>
          <w:sz w:val="24"/>
          <w:szCs w:val="24"/>
          <w:lang w:val="en-US"/>
        </w:rPr>
        <w:t>the  loan</w:t>
      </w:r>
      <w:proofErr w:type="gramEnd"/>
      <w:r w:rsidRPr="00C40532">
        <w:rPr>
          <w:rFonts w:ascii="Times New Roman" w:hAnsi="Times New Roman" w:cs="Times New Roman"/>
          <w:sz w:val="24"/>
          <w:szCs w:val="24"/>
          <w:lang w:val="en-US"/>
        </w:rPr>
        <w:t xml:space="preserve">  portfolio  by  32.8  percent  or KGS 21.9 billion;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 — </w:t>
      </w:r>
      <w:proofErr w:type="gramStart"/>
      <w:r w:rsidRPr="00C40532">
        <w:rPr>
          <w:rFonts w:ascii="Times New Roman" w:hAnsi="Times New Roman" w:cs="Times New Roman"/>
          <w:sz w:val="24"/>
          <w:szCs w:val="24"/>
          <w:lang w:val="en-US"/>
        </w:rPr>
        <w:t>the</w:t>
      </w:r>
      <w:proofErr w:type="gramEnd"/>
      <w:r w:rsidRPr="00C40532">
        <w:rPr>
          <w:rFonts w:ascii="Times New Roman" w:hAnsi="Times New Roman" w:cs="Times New Roman"/>
          <w:sz w:val="24"/>
          <w:szCs w:val="24"/>
          <w:lang w:val="en-US"/>
        </w:rPr>
        <w:t xml:space="preserve"> correspondent accounts and cash by 36.6 percent or KGS 11.2 billion.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The share of loan portfolio in the structure of assets constituted 56.8 percent, having increased by 2.5 p.p. compared to the first half of 2014.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 xml:space="preserve">At the end of the first half of 2015, significant </w:t>
      </w:r>
      <w:proofErr w:type="gramStart"/>
      <w:r w:rsidRPr="00C40532">
        <w:rPr>
          <w:rFonts w:ascii="Times New Roman" w:hAnsi="Times New Roman" w:cs="Times New Roman"/>
          <w:sz w:val="24"/>
          <w:szCs w:val="24"/>
          <w:lang w:val="en-US"/>
        </w:rPr>
        <w:t>changes  were</w:t>
      </w:r>
      <w:proofErr w:type="gramEnd"/>
      <w:r w:rsidRPr="00C40532">
        <w:rPr>
          <w:rFonts w:ascii="Times New Roman" w:hAnsi="Times New Roman" w:cs="Times New Roman"/>
          <w:sz w:val="24"/>
          <w:szCs w:val="24"/>
          <w:lang w:val="en-US"/>
        </w:rPr>
        <w:t xml:space="preserve">  not  observed  in  the  structure  of the banking sector assets by sectors of economy (Chart 2.1.3).  </w:t>
      </w:r>
      <w:proofErr w:type="gramStart"/>
      <w:r w:rsidRPr="00C40532">
        <w:rPr>
          <w:rFonts w:ascii="Times New Roman" w:hAnsi="Times New Roman" w:cs="Times New Roman"/>
          <w:sz w:val="24"/>
          <w:szCs w:val="24"/>
          <w:lang w:val="en-US"/>
        </w:rPr>
        <w:t>The  total</w:t>
      </w:r>
      <w:proofErr w:type="gramEnd"/>
      <w:r w:rsidRPr="00C40532">
        <w:rPr>
          <w:rFonts w:ascii="Times New Roman" w:hAnsi="Times New Roman" w:cs="Times New Roman"/>
          <w:sz w:val="24"/>
          <w:szCs w:val="24"/>
          <w:lang w:val="en-US"/>
        </w:rPr>
        <w:t xml:space="preserve">  share  of  liquid  assets (cash, correspondent accounts and securities) at the end of the first half of 2015 decreased by 0.6 p.p. compared to the same period of 2014 and amounted to 30.5 percent of the total volume of assets or KGS 47.7 billion.</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6120765" cy="2845487"/>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7" cstate="print"/>
                    <a:srcRect/>
                    <a:stretch>
                      <a:fillRect/>
                    </a:stretch>
                  </pic:blipFill>
                  <pic:spPr bwMode="auto">
                    <a:xfrm>
                      <a:off x="0" y="0"/>
                      <a:ext cx="6120765" cy="2845487"/>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Loan Portfolio</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Growth of banks’ loan portfolio in the first half of 2015 was primarily due to increase in the volume of lending to agricultural sector and trade.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At the end of the first half of 2015, the level of dollarization of the loan portfolio in the banking sector increased by 0.5 p.p. compared to the same period of 2015 and amounted to 52.7 percent (Chart 2.1.4).</w:t>
      </w:r>
    </w:p>
    <w:p w:rsidR="00472A60" w:rsidRPr="00C40532" w:rsidRDefault="00472A60" w:rsidP="00472A60">
      <w:pPr>
        <w:shd w:val="clear" w:color="auto" w:fill="FFFFFF"/>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5973445" cy="3220085"/>
            <wp:effectExtent l="19050" t="0" r="8255" b="0"/>
            <wp:docPr id="2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8" cstate="print"/>
                    <a:srcRect/>
                    <a:stretch>
                      <a:fillRect/>
                    </a:stretch>
                  </pic:blipFill>
                  <pic:spPr bwMode="auto">
                    <a:xfrm>
                      <a:off x="0" y="0"/>
                      <a:ext cx="5973445" cy="3220085"/>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lastRenderedPageBreak/>
        <w:t>The major share was accounted for medium-term loans from 1 to 3 years in the structure of loan portfolio by maturity, which constituted 44.8 percent at end of the first half of 2015 (Chart 2.1.5).</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drawing>
          <wp:inline distT="0" distB="0" distL="0" distR="0">
            <wp:extent cx="5903595" cy="2813050"/>
            <wp:effectExtent l="19050" t="0" r="1905" b="0"/>
            <wp:docPr id="2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cstate="print"/>
                    <a:srcRect/>
                    <a:stretch>
                      <a:fillRect/>
                    </a:stretch>
                  </pic:blipFill>
                  <pic:spPr bwMode="auto">
                    <a:xfrm>
                      <a:off x="0" y="0"/>
                      <a:ext cx="5903595" cy="2813050"/>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Decrease in the share of loans to the trade and agriculture was observed in the sectoral structure of the loan portfolio (Chart 2.1.6). Thus, the share of lending to trade in the loan portfolio at the end of the first half of 2015 decreased from 35.5 percent to 34.0 percent compared to the same period of 2014.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share of agricultural sector loans decreased from 21.3 percent to 20.7 percent. At the end of the first half of 2015, the volume of lending to agricultural sector increased by 28.8 percent compared to the same period of 2014 and amounted to KGS 18.3 billion.</w:t>
      </w:r>
    </w:p>
    <w:p w:rsidR="00472A60" w:rsidRPr="00C40532" w:rsidRDefault="00472A60" w:rsidP="00472A60">
      <w:pPr>
        <w:shd w:val="clear" w:color="auto" w:fill="FFFFFF"/>
        <w:spacing w:after="0" w:line="240" w:lineRule="auto"/>
        <w:ind w:firstLine="567"/>
        <w:jc w:val="both"/>
        <w:rPr>
          <w:rFonts w:ascii="Times New Roman" w:hAnsi="Times New Roman" w:cs="Times New Roman"/>
          <w:b/>
          <w:sz w:val="24"/>
          <w:szCs w:val="24"/>
          <w:lang w:val="en-US"/>
        </w:rPr>
      </w:pPr>
      <w:r w:rsidRPr="00C40532">
        <w:rPr>
          <w:rFonts w:ascii="Times New Roman" w:hAnsi="Times New Roman" w:cs="Times New Roman"/>
          <w:b/>
          <w:sz w:val="24"/>
          <w:szCs w:val="24"/>
          <w:lang w:val="en-US"/>
        </w:rPr>
        <w:t>Liabilities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At the end of the first half of 2015, liabilities of the banking sector amounted to KGS 133.7 billion, having increased by 28.2 percent compared to the same period of 2014. </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 xml:space="preserve">Decrease in the share of households’ and non-financial enterprises’ </w:t>
      </w:r>
      <w:proofErr w:type="gramStart"/>
      <w:r w:rsidRPr="00C40532">
        <w:rPr>
          <w:rFonts w:ascii="Times New Roman" w:hAnsi="Times New Roman" w:cs="Times New Roman"/>
          <w:sz w:val="24"/>
          <w:szCs w:val="24"/>
          <w:lang w:val="en-US"/>
        </w:rPr>
        <w:t>funds was</w:t>
      </w:r>
      <w:proofErr w:type="gramEnd"/>
      <w:r w:rsidRPr="00C40532">
        <w:rPr>
          <w:rFonts w:ascii="Times New Roman" w:hAnsi="Times New Roman" w:cs="Times New Roman"/>
          <w:sz w:val="24"/>
          <w:szCs w:val="24"/>
          <w:lang w:val="en-US"/>
        </w:rPr>
        <w:t xml:space="preserve"> observed in the institutional structure of liabilities (Chart 2.1.7). Moreover, households’ funds remained the major source of attracted banks’ resources.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jc w:val="both"/>
        <w:rPr>
          <w:rFonts w:ascii="Times New Roman" w:hAnsi="Times New Roman" w:cs="Times New Roman"/>
          <w:sz w:val="24"/>
          <w:szCs w:val="24"/>
        </w:rPr>
      </w:pPr>
      <w:r w:rsidRPr="00C40532">
        <w:rPr>
          <w:rFonts w:ascii="Times New Roman" w:hAnsi="Times New Roman" w:cs="Times New Roman"/>
          <w:noProof/>
          <w:sz w:val="24"/>
          <w:szCs w:val="24"/>
        </w:rPr>
        <w:lastRenderedPageBreak/>
        <w:drawing>
          <wp:inline distT="0" distB="0" distL="0" distR="0">
            <wp:extent cx="5894070" cy="2852420"/>
            <wp:effectExtent l="19050" t="0" r="0" b="0"/>
            <wp:docPr id="2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0" cstate="print"/>
                    <a:srcRect/>
                    <a:stretch>
                      <a:fillRect/>
                    </a:stretch>
                  </pic:blipFill>
                  <pic:spPr bwMode="auto">
                    <a:xfrm>
                      <a:off x="0" y="0"/>
                      <a:ext cx="5894070" cy="2852420"/>
                    </a:xfrm>
                    <a:prstGeom prst="rect">
                      <a:avLst/>
                    </a:prstGeom>
                    <a:noFill/>
                    <a:ln w="9525">
                      <a:noFill/>
                      <a:miter lim="800000"/>
                      <a:headEnd/>
                      <a:tailEnd/>
                    </a:ln>
                  </pic:spPr>
                </pic:pic>
              </a:graphicData>
            </a:graphic>
          </wp:inline>
        </w:drawing>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rPr>
      </w:pPr>
    </w:p>
    <w:p w:rsidR="00472A60" w:rsidRPr="00C40532" w:rsidRDefault="00472A60" w:rsidP="00472A60">
      <w:pPr>
        <w:pStyle w:val="a4"/>
        <w:numPr>
          <w:ilvl w:val="0"/>
          <w:numId w:val="35"/>
        </w:numPr>
        <w:shd w:val="clear" w:color="auto" w:fill="FFFFFF"/>
        <w:spacing w:after="0" w:line="240" w:lineRule="auto"/>
        <w:ind w:left="0" w:firstLine="567"/>
        <w:jc w:val="both"/>
        <w:rPr>
          <w:rFonts w:ascii="Times New Roman" w:hAnsi="Times New Roman" w:cs="Times New Roman"/>
          <w:b/>
          <w:sz w:val="24"/>
          <w:szCs w:val="24"/>
          <w:lang w:val="en-US"/>
        </w:rPr>
      </w:pPr>
      <w:r w:rsidRPr="00C40532">
        <w:rPr>
          <w:rStyle w:val="hps"/>
          <w:rFonts w:ascii="Times New Roman" w:hAnsi="Times New Roman" w:cs="Times New Roman"/>
          <w:sz w:val="24"/>
          <w:szCs w:val="24"/>
          <w:lang w:val="en-US"/>
        </w:rPr>
        <w:t>The financial system</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of Turkmenistan</w:t>
      </w:r>
      <w:r w:rsidRPr="00C40532">
        <w:rPr>
          <w:rFonts w:ascii="Times New Roman" w:hAnsi="Times New Roman" w:cs="Times New Roman"/>
          <w:b/>
          <w:sz w:val="24"/>
          <w:szCs w:val="24"/>
          <w:lang w:val="en-US"/>
        </w:rPr>
        <w:t xml:space="preserve"> </w:t>
      </w:r>
      <w:r w:rsidRPr="00C40532">
        <w:rPr>
          <w:rStyle w:val="hps"/>
          <w:rFonts w:ascii="Times New Roman" w:hAnsi="Times New Roman" w:cs="Times New Roman"/>
          <w:sz w:val="24"/>
          <w:szCs w:val="24"/>
          <w:lang w:val="en-US"/>
        </w:rPr>
        <w:t>at the current stage</w:t>
      </w:r>
      <w:r w:rsidRPr="00C40532">
        <w:rPr>
          <w:rFonts w:ascii="Times New Roman" w:hAnsi="Times New Roman" w:cs="Times New Roman"/>
          <w:b/>
          <w:sz w:val="24"/>
          <w:szCs w:val="24"/>
          <w:lang w:val="en-US"/>
        </w:rPr>
        <w: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AA3725" w:rsidP="00472A60">
      <w:pPr>
        <w:shd w:val="clear" w:color="auto" w:fill="FFFFFF"/>
        <w:spacing w:after="0" w:line="240" w:lineRule="auto"/>
        <w:ind w:firstLine="567"/>
        <w:jc w:val="both"/>
        <w:rPr>
          <w:rFonts w:ascii="Times New Roman" w:hAnsi="Times New Roman" w:cs="Times New Roman"/>
          <w:sz w:val="24"/>
          <w:szCs w:val="24"/>
          <w:shd w:val="clear" w:color="auto" w:fill="FFFFFF"/>
          <w:lang w:val="en-US"/>
        </w:rPr>
      </w:pPr>
      <w:r>
        <w:fldChar w:fldCharType="begin"/>
      </w:r>
      <w:r w:rsidRPr="003E0431">
        <w:rPr>
          <w:lang w:val="en-US"/>
        </w:rPr>
        <w:instrText>HYPERLINK "https://en.wikipedia.org/wiki/Turkmenistan" \o "Turkmenistan"</w:instrText>
      </w:r>
      <w:r>
        <w:fldChar w:fldCharType="separate"/>
      </w:r>
      <w:r w:rsidR="00472A60" w:rsidRPr="00C40532">
        <w:rPr>
          <w:rStyle w:val="a5"/>
          <w:rFonts w:ascii="Times New Roman" w:hAnsi="Times New Roman" w:cs="Times New Roman"/>
          <w:sz w:val="24"/>
          <w:szCs w:val="24"/>
          <w:shd w:val="clear" w:color="auto" w:fill="FFFFFF"/>
          <w:lang w:val="en-US"/>
        </w:rPr>
        <w:t>Turkmenistan</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is one of the world's</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"https://en.wikipedia.org/wiki/List_of_countries_by_real_GDP_growth_rate" \o "List of countries by real GDP growth rate"</w:instrText>
      </w:r>
      <w:r>
        <w:fldChar w:fldCharType="separate"/>
      </w:r>
      <w:r w:rsidR="00472A60" w:rsidRPr="00C40532">
        <w:rPr>
          <w:rStyle w:val="a5"/>
          <w:rFonts w:ascii="Times New Roman" w:hAnsi="Times New Roman" w:cs="Times New Roman"/>
          <w:sz w:val="24"/>
          <w:szCs w:val="24"/>
          <w:shd w:val="clear" w:color="auto" w:fill="FFFFFF"/>
          <w:lang w:val="en-US"/>
        </w:rPr>
        <w:t>fastest-growing economies</w:t>
      </w:r>
      <w:r>
        <w:fldChar w:fldCharType="end"/>
      </w:r>
      <w:r w:rsidR="00472A60" w:rsidRPr="00C40532">
        <w:rPr>
          <w:rFonts w:ascii="Times New Roman" w:hAnsi="Times New Roman" w:cs="Times New Roman"/>
          <w:sz w:val="24"/>
          <w:szCs w:val="24"/>
          <w:shd w:val="clear" w:color="auto" w:fill="FFFFFF"/>
          <w:lang w:val="en-US"/>
        </w:rPr>
        <w:t>. It is largely a</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"https://en.wikipedia.org/wiki/Desert" \o "Desert"</w:instrText>
      </w:r>
      <w:r>
        <w:fldChar w:fldCharType="separate"/>
      </w:r>
      <w:r w:rsidR="00472A60" w:rsidRPr="00C40532">
        <w:rPr>
          <w:rStyle w:val="a5"/>
          <w:rFonts w:ascii="Times New Roman" w:hAnsi="Times New Roman" w:cs="Times New Roman"/>
          <w:sz w:val="24"/>
          <w:szCs w:val="24"/>
          <w:shd w:val="clear" w:color="auto" w:fill="FFFFFF"/>
          <w:lang w:val="en-US"/>
        </w:rPr>
        <w:t>desert</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country with intensive</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"https://en.wikipedia.org/wiki/Agriculture" \o "Agriculture"</w:instrText>
      </w:r>
      <w:r>
        <w:fldChar w:fldCharType="separate"/>
      </w:r>
      <w:r w:rsidR="00472A60" w:rsidRPr="00C40532">
        <w:rPr>
          <w:rStyle w:val="a5"/>
          <w:rFonts w:ascii="Times New Roman" w:hAnsi="Times New Roman" w:cs="Times New Roman"/>
          <w:sz w:val="24"/>
          <w:szCs w:val="24"/>
          <w:shd w:val="clear" w:color="auto" w:fill="FFFFFF"/>
          <w:lang w:val="en-US"/>
        </w:rPr>
        <w:t>agriculture</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in irrigated areas, and huge</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"https://en.wikipedia.org/wiki/Natural_gas" \o "Natural gas"</w:instrText>
      </w:r>
      <w:r>
        <w:fldChar w:fldCharType="separate"/>
      </w:r>
      <w:r w:rsidR="00472A60" w:rsidRPr="00C40532">
        <w:rPr>
          <w:rStyle w:val="a5"/>
          <w:rFonts w:ascii="Times New Roman" w:hAnsi="Times New Roman" w:cs="Times New Roman"/>
          <w:sz w:val="24"/>
          <w:szCs w:val="24"/>
          <w:shd w:val="clear" w:color="auto" w:fill="FFFFFF"/>
          <w:lang w:val="en-US"/>
        </w:rPr>
        <w:t>gas</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and</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"https://en.wikipedia.org/wiki/Petroleum" \o "Petroleum"</w:instrText>
      </w:r>
      <w:r>
        <w:fldChar w:fldCharType="separate"/>
      </w:r>
      <w:r w:rsidR="00472A60" w:rsidRPr="00C40532">
        <w:rPr>
          <w:rStyle w:val="a5"/>
          <w:rFonts w:ascii="Times New Roman" w:hAnsi="Times New Roman" w:cs="Times New Roman"/>
          <w:sz w:val="24"/>
          <w:szCs w:val="24"/>
          <w:shd w:val="clear" w:color="auto" w:fill="FFFFFF"/>
          <w:lang w:val="en-US"/>
        </w:rPr>
        <w:t>oil</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resources. In terms of natural gas reserves, it is</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"https://en.wikipedia.org/wiki/List_of_countries_by_natural_gas_proven_reserves" \o "List of countries by natural gas proven reserves"</w:instrText>
      </w:r>
      <w:r>
        <w:fldChar w:fldCharType="separate"/>
      </w:r>
      <w:r w:rsidR="00472A60" w:rsidRPr="00C40532">
        <w:rPr>
          <w:rStyle w:val="a5"/>
          <w:rFonts w:ascii="Times New Roman" w:hAnsi="Times New Roman" w:cs="Times New Roman"/>
          <w:sz w:val="24"/>
          <w:szCs w:val="24"/>
          <w:shd w:val="clear" w:color="auto" w:fill="FFFFFF"/>
          <w:lang w:val="en-US"/>
        </w:rPr>
        <w:t>ranked 4th in the world</w:t>
      </w:r>
      <w:r>
        <w:fldChar w:fldCharType="end"/>
      </w:r>
      <w:r w:rsidR="00472A60" w:rsidRPr="00C40532">
        <w:rPr>
          <w:rFonts w:ascii="Times New Roman" w:hAnsi="Times New Roman" w:cs="Times New Roman"/>
          <w:sz w:val="24"/>
          <w:szCs w:val="24"/>
          <w:shd w:val="clear" w:color="auto" w:fill="FFFFFF"/>
          <w:lang w:val="en-US"/>
        </w:rPr>
        <w:t>. Regarding agriculture, the two largest crops are cotton, most of which is produced for export, and wheat, which is domestically consumed.</w:t>
      </w:r>
      <w:r>
        <w:fldChar w:fldCharType="begin"/>
      </w:r>
      <w:r w:rsidRPr="003E0431">
        <w:rPr>
          <w:lang w:val="en-US"/>
        </w:rPr>
        <w:instrText>HYPERLINK "https://en.wikipedia.org/wiki/Economy_of_Turkmenistan" \l "cite_note-cia.gov-5"</w:instrText>
      </w:r>
      <w:r>
        <w:fldChar w:fldCharType="separate"/>
      </w:r>
      <w:r w:rsidR="00472A60" w:rsidRPr="00C40532">
        <w:rPr>
          <w:rStyle w:val="a5"/>
          <w:rFonts w:ascii="Times New Roman" w:hAnsi="Times New Roman" w:cs="Times New Roman"/>
          <w:sz w:val="24"/>
          <w:szCs w:val="24"/>
          <w:shd w:val="clear" w:color="auto" w:fill="FFFFFF"/>
          <w:vertAlign w:val="superscript"/>
          <w:lang w:val="en-US"/>
        </w:rPr>
        <w:t>[5]</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Turkmenistan is among</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"https://en.wikipedia.org/wiki/Cotton" \l "Leading_producer_countries" \o "Cotton"</w:instrText>
      </w:r>
      <w:r>
        <w:fldChar w:fldCharType="separate"/>
      </w:r>
      <w:r w:rsidR="00472A60" w:rsidRPr="00C40532">
        <w:rPr>
          <w:rStyle w:val="a5"/>
          <w:rFonts w:ascii="Times New Roman" w:hAnsi="Times New Roman" w:cs="Times New Roman"/>
          <w:sz w:val="24"/>
          <w:szCs w:val="24"/>
          <w:shd w:val="clear" w:color="auto" w:fill="FFFFFF"/>
          <w:lang w:val="en-US"/>
        </w:rPr>
        <w:t>the top ten producers of cotton in the world</w:t>
      </w:r>
      <w:r>
        <w:fldChar w:fldCharType="end"/>
      </w:r>
      <w:r w:rsidR="00472A60" w:rsidRPr="00C40532">
        <w:rPr>
          <w:rFonts w:ascii="Times New Roman" w:hAnsi="Times New Roman" w:cs="Times New Roman"/>
          <w:sz w:val="24"/>
          <w:szCs w:val="24"/>
          <w:shd w:val="clear" w:color="auto" w:fill="FFFFFF"/>
          <w:lang w:val="en-US"/>
        </w:rPr>
        <w:t>. From 1998-2005,</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"https://en.wikipedia.org/wiki/Turkmenistan" \o "Turkmenistan"</w:instrText>
      </w:r>
      <w:r>
        <w:fldChar w:fldCharType="separate"/>
      </w:r>
      <w:r w:rsidR="00472A60" w:rsidRPr="00C40532">
        <w:rPr>
          <w:rStyle w:val="a5"/>
          <w:rFonts w:ascii="Times New Roman" w:hAnsi="Times New Roman" w:cs="Times New Roman"/>
          <w:sz w:val="24"/>
          <w:szCs w:val="24"/>
          <w:shd w:val="clear" w:color="auto" w:fill="FFFFFF"/>
          <w:lang w:val="en-US"/>
        </w:rPr>
        <w:t>Turkmenistan</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suffered from the continued lack of adequate export routes for natural gas and from obligations on extensive short-term external debt. At the same time, however, total exports rose by an average of roughly 15% per year from 2003–08, largely because of higher international oil and gas prices. As in the Soviet era,</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"https://en.wikipedia.org/wiki/Economic_planning" \o "Economic planning"</w:instrText>
      </w:r>
      <w:r>
        <w:fldChar w:fldCharType="separate"/>
      </w:r>
      <w:r w:rsidR="00472A60" w:rsidRPr="00C40532">
        <w:rPr>
          <w:rStyle w:val="a5"/>
          <w:rFonts w:ascii="Times New Roman" w:hAnsi="Times New Roman" w:cs="Times New Roman"/>
          <w:sz w:val="24"/>
          <w:szCs w:val="24"/>
          <w:shd w:val="clear" w:color="auto" w:fill="FFFFFF"/>
          <w:lang w:val="en-US"/>
        </w:rPr>
        <w:t>central planning</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and state control pervade the system, and the Niyazov government (in power 1991–2006) consistently rejected market reform programs. The state subsidizes a wide variety of commodities and services. Since his election in 2007, President</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"https://en.wikipedia.org/wiki/Gurbanguly_Berdimuhamedow" \o "Gurbanguly Berdimuhamedow"</w:instrText>
      </w:r>
      <w:r>
        <w:fldChar w:fldCharType="separate"/>
      </w:r>
      <w:r w:rsidR="00472A60" w:rsidRPr="00C40532">
        <w:rPr>
          <w:rStyle w:val="a5"/>
          <w:rFonts w:ascii="Times New Roman" w:hAnsi="Times New Roman" w:cs="Times New Roman"/>
          <w:sz w:val="24"/>
          <w:szCs w:val="24"/>
          <w:shd w:val="clear" w:color="auto" w:fill="FFFFFF"/>
          <w:lang w:val="en-US"/>
        </w:rPr>
        <w:t>Gurbanguly Berdimuhamedow</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unified the country's dual currency</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"https://en.wikipedia.org/wiki/Exchange_rate" \o "Exchange rate"</w:instrText>
      </w:r>
      <w:r>
        <w:fldChar w:fldCharType="separate"/>
      </w:r>
      <w:r w:rsidR="00472A60" w:rsidRPr="00C40532">
        <w:rPr>
          <w:rStyle w:val="a5"/>
          <w:rFonts w:ascii="Times New Roman" w:hAnsi="Times New Roman" w:cs="Times New Roman"/>
          <w:sz w:val="24"/>
          <w:szCs w:val="24"/>
          <w:shd w:val="clear" w:color="auto" w:fill="FFFFFF"/>
          <w:lang w:val="en-US"/>
        </w:rPr>
        <w:t>exchange rate</w:t>
      </w:r>
      <w:r>
        <w:fldChar w:fldCharType="end"/>
      </w:r>
      <w:r w:rsidR="00472A60" w:rsidRPr="00C40532">
        <w:rPr>
          <w:rFonts w:ascii="Times New Roman" w:hAnsi="Times New Roman" w:cs="Times New Roman"/>
          <w:sz w:val="24"/>
          <w:szCs w:val="24"/>
          <w:shd w:val="clear" w:color="auto" w:fill="FFFFFF"/>
          <w:lang w:val="en-US"/>
        </w:rPr>
        <w:t>, ordered the redenomination of the manat, reduced state subsidies for gasoline, and initiated development of a special tourism zone (</w:t>
      </w:r>
      <w:r>
        <w:fldChar w:fldCharType="begin"/>
      </w:r>
      <w:r w:rsidRPr="003E0431">
        <w:rPr>
          <w:lang w:val="en-US"/>
        </w:rPr>
        <w:instrText>HYPERLINK "https://en.wikipedia.org/wiki/Avaza" \o "Avaza"</w:instrText>
      </w:r>
      <w:r>
        <w:fldChar w:fldCharType="separate"/>
      </w:r>
      <w:r w:rsidR="00472A60" w:rsidRPr="00C40532">
        <w:rPr>
          <w:rStyle w:val="a5"/>
          <w:rFonts w:ascii="Times New Roman" w:hAnsi="Times New Roman" w:cs="Times New Roman"/>
          <w:sz w:val="24"/>
          <w:szCs w:val="24"/>
          <w:shd w:val="clear" w:color="auto" w:fill="FFFFFF"/>
          <w:lang w:val="en-US"/>
        </w:rPr>
        <w:t>Avaza</w:t>
      </w:r>
      <w:r>
        <w:fldChar w:fldCharType="end"/>
      </w:r>
      <w:r w:rsidR="00472A60" w:rsidRPr="00C40532">
        <w:rPr>
          <w:rFonts w:ascii="Times New Roman" w:hAnsi="Times New Roman" w:cs="Times New Roman"/>
          <w:sz w:val="24"/>
          <w:szCs w:val="24"/>
          <w:shd w:val="clear" w:color="auto" w:fill="FFFFFF"/>
          <w:lang w:val="en-US"/>
        </w:rPr>
        <w:t>) on the Caspian Sea. Since 2009, Turkmenistan maintains the fixed exchange rate. As of February 5th 2016, 1</w:t>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"https://en.wikipedia.org/wiki/United_States_Dollar" \o "United States Dollar"</w:instrText>
      </w:r>
      <w:r>
        <w:fldChar w:fldCharType="separate"/>
      </w:r>
      <w:r w:rsidR="00472A60" w:rsidRPr="00C40532">
        <w:rPr>
          <w:rStyle w:val="a5"/>
          <w:rFonts w:ascii="Times New Roman" w:hAnsi="Times New Roman" w:cs="Times New Roman"/>
          <w:sz w:val="24"/>
          <w:szCs w:val="24"/>
          <w:shd w:val="clear" w:color="auto" w:fill="FFFFFF"/>
          <w:lang w:val="en-US"/>
        </w:rPr>
        <w:t>United States Dollar</w:t>
      </w:r>
      <w:r>
        <w:fldChar w:fldCharType="end"/>
      </w:r>
      <w:r w:rsidR="00472A60" w:rsidRPr="00C40532">
        <w:rPr>
          <w:rStyle w:val="apple-converted-space"/>
          <w:rFonts w:ascii="Times New Roman" w:hAnsi="Times New Roman" w:cs="Times New Roman"/>
          <w:sz w:val="24"/>
          <w:szCs w:val="24"/>
          <w:shd w:val="clear" w:color="auto" w:fill="FFFFFF"/>
          <w:lang w:val="en-US"/>
        </w:rPr>
        <w:t> </w:t>
      </w:r>
      <w:r w:rsidR="00472A60" w:rsidRPr="00C40532">
        <w:rPr>
          <w:rFonts w:ascii="Times New Roman" w:hAnsi="Times New Roman" w:cs="Times New Roman"/>
          <w:sz w:val="24"/>
          <w:szCs w:val="24"/>
          <w:shd w:val="clear" w:color="auto" w:fill="FFFFFF"/>
          <w:lang w:val="en-US"/>
        </w:rPr>
        <w:t>is equivalent to 3.50</w:t>
      </w:r>
      <w:r>
        <w:fldChar w:fldCharType="begin"/>
      </w:r>
      <w:r w:rsidRPr="003E0431">
        <w:rPr>
          <w:lang w:val="en-US"/>
        </w:rPr>
        <w:instrText>HYPERLINK "https://en.wikipedia.org/wiki/Economy_of_Turkmenistan" \l "cite_note-6"</w:instrText>
      </w:r>
      <w:r>
        <w:fldChar w:fldCharType="separate"/>
      </w:r>
      <w:r w:rsidR="00472A60" w:rsidRPr="00C40532">
        <w:rPr>
          <w:rStyle w:val="a5"/>
          <w:rFonts w:ascii="Times New Roman" w:hAnsi="Times New Roman" w:cs="Times New Roman"/>
          <w:sz w:val="24"/>
          <w:szCs w:val="24"/>
          <w:shd w:val="clear" w:color="auto" w:fill="FFFFFF"/>
          <w:vertAlign w:val="superscript"/>
          <w:lang w:val="en-US"/>
        </w:rPr>
        <w:t>[6]</w:t>
      </w:r>
      <w:r>
        <w:fldChar w:fldCharType="end"/>
      </w:r>
      <w:r w:rsidR="00472A60" w:rsidRPr="00C40532">
        <w:rPr>
          <w:rStyle w:val="apple-converted-space"/>
          <w:rFonts w:ascii="Times New Roman" w:hAnsi="Times New Roman" w:cs="Times New Roman"/>
          <w:sz w:val="24"/>
          <w:szCs w:val="24"/>
          <w:shd w:val="clear" w:color="auto" w:fill="FFFFFF"/>
          <w:lang w:val="en-US"/>
        </w:rPr>
        <w:t> </w:t>
      </w:r>
      <w:r>
        <w:fldChar w:fldCharType="begin"/>
      </w:r>
      <w:r w:rsidRPr="003E0431">
        <w:rPr>
          <w:lang w:val="en-US"/>
        </w:rPr>
        <w:instrText>HYPERLINK "https://en.wikipedia.org/wiki/Turkmenistan_manat" \o "Turkmenistan manat"</w:instrText>
      </w:r>
      <w:r>
        <w:fldChar w:fldCharType="separate"/>
      </w:r>
      <w:r w:rsidR="00472A60" w:rsidRPr="00C40532">
        <w:rPr>
          <w:rStyle w:val="a5"/>
          <w:rFonts w:ascii="Times New Roman" w:hAnsi="Times New Roman" w:cs="Times New Roman"/>
          <w:sz w:val="24"/>
          <w:szCs w:val="24"/>
          <w:shd w:val="clear" w:color="auto" w:fill="FFFFFF"/>
          <w:lang w:val="en-US"/>
        </w:rPr>
        <w:t>Turkmenistan manat</w:t>
      </w:r>
      <w:r>
        <w:fldChar w:fldCharType="end"/>
      </w:r>
      <w:r w:rsidR="00472A60" w:rsidRPr="00C40532">
        <w:rPr>
          <w:rFonts w:ascii="Times New Roman" w:hAnsi="Times New Roman" w:cs="Times New Roman"/>
          <w:sz w:val="24"/>
          <w:szCs w:val="24"/>
          <w:shd w:val="clear" w:color="auto" w:fill="FFFFFF"/>
          <w:lang w:val="en-US"/>
        </w:rPr>
        <w:t>.</w:t>
      </w:r>
    </w:p>
    <w:p w:rsidR="00472A60" w:rsidRPr="00C40532" w:rsidRDefault="00472A60" w:rsidP="00472A60">
      <w:pPr>
        <w:pStyle w:val="2"/>
        <w:pBdr>
          <w:bottom w:val="single" w:sz="6" w:space="0" w:color="AAAAAA"/>
        </w:pBdr>
        <w:shd w:val="clear" w:color="auto" w:fill="FFFFFF"/>
        <w:spacing w:before="0" w:beforeAutospacing="0" w:after="0" w:afterAutospacing="0"/>
        <w:ind w:firstLine="567"/>
        <w:rPr>
          <w:rStyle w:val="mw-headline"/>
          <w:b w:val="0"/>
          <w:bCs w:val="0"/>
          <w:sz w:val="24"/>
          <w:szCs w:val="24"/>
          <w:lang w:val="en-US"/>
        </w:rPr>
      </w:pPr>
    </w:p>
    <w:p w:rsidR="00472A60" w:rsidRPr="00C40532" w:rsidRDefault="00472A60" w:rsidP="00472A60">
      <w:pPr>
        <w:pStyle w:val="2"/>
        <w:pBdr>
          <w:bottom w:val="single" w:sz="6" w:space="0" w:color="AAAAAA"/>
        </w:pBdr>
        <w:shd w:val="clear" w:color="auto" w:fill="FFFFFF"/>
        <w:spacing w:before="0" w:beforeAutospacing="0" w:after="0" w:afterAutospacing="0"/>
        <w:ind w:firstLine="567"/>
        <w:rPr>
          <w:bCs w:val="0"/>
          <w:sz w:val="24"/>
          <w:szCs w:val="24"/>
          <w:lang w:val="en-US"/>
        </w:rPr>
      </w:pPr>
      <w:r w:rsidRPr="00C40532">
        <w:rPr>
          <w:rStyle w:val="mw-headline"/>
          <w:bCs w:val="0"/>
          <w:sz w:val="24"/>
          <w:szCs w:val="24"/>
          <w:lang w:val="en-US"/>
        </w:rPr>
        <w:t>Fiscal Policy</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The budget making process and its implementation goes according to the Law “On Budget System”. The law fixes legal foundations of organizing management and operating budget system, regulates interrelations between budgets of all levels. The Government of</w:t>
      </w:r>
      <w:r w:rsidRPr="00C40532">
        <w:rPr>
          <w:rStyle w:val="apple-converted-space"/>
          <w:lang w:val="en-US"/>
        </w:rPr>
        <w:t> </w:t>
      </w:r>
      <w:r w:rsidR="00AA3725">
        <w:fldChar w:fldCharType="begin"/>
      </w:r>
      <w:r w:rsidR="00AA3725" w:rsidRPr="003E0431">
        <w:rPr>
          <w:lang w:val="en-US"/>
        </w:rPr>
        <w:instrText>HYPERLINK "https://en.wikipedia.org/wiki/Turkmenistan" \o "Turkmenistan"</w:instrText>
      </w:r>
      <w:r w:rsidR="00AA3725">
        <w:fldChar w:fldCharType="separate"/>
      </w:r>
      <w:r w:rsidRPr="00C40532">
        <w:rPr>
          <w:rStyle w:val="a5"/>
          <w:lang w:val="en-US"/>
        </w:rPr>
        <w:t>Turkmenistan</w:t>
      </w:r>
      <w:r w:rsidR="00AA3725">
        <w:fldChar w:fldCharType="end"/>
      </w:r>
      <w:r w:rsidRPr="00C40532">
        <w:rPr>
          <w:rStyle w:val="apple-converted-space"/>
          <w:lang w:val="en-US"/>
        </w:rPr>
        <w:t> </w:t>
      </w:r>
      <w:r w:rsidRPr="00C40532">
        <w:rPr>
          <w:lang w:val="en-US"/>
        </w:rPr>
        <w:t>discusses the State budget draft and submits it to the</w:t>
      </w:r>
      <w:r w:rsidRPr="00C40532">
        <w:rPr>
          <w:rStyle w:val="apple-converted-space"/>
          <w:lang w:val="en-US"/>
        </w:rPr>
        <w:t> </w:t>
      </w:r>
      <w:r w:rsidR="00AA3725">
        <w:fldChar w:fldCharType="begin"/>
      </w:r>
      <w:r w:rsidR="00AA3725" w:rsidRPr="003E0431">
        <w:rPr>
          <w:lang w:val="en-US"/>
        </w:rPr>
        <w:instrText>HYPERLINK "https://en.wikipedia.org/wiki/President_of_Turkmenistan" \o "President of Turkmenistan"</w:instrText>
      </w:r>
      <w:r w:rsidR="00AA3725">
        <w:fldChar w:fldCharType="separate"/>
      </w:r>
      <w:r w:rsidRPr="00C40532">
        <w:rPr>
          <w:rStyle w:val="a5"/>
          <w:lang w:val="en-US"/>
        </w:rPr>
        <w:t>President of Turkmenistan</w:t>
      </w:r>
      <w:r w:rsidR="00AA3725">
        <w:fldChar w:fldCharType="end"/>
      </w:r>
      <w:r w:rsidRPr="00C40532">
        <w:rPr>
          <w:lang w:val="en-US"/>
        </w:rPr>
        <w:t>. Prior to one month of the beginning of the financial year the</w:t>
      </w:r>
      <w:r w:rsidRPr="00C40532">
        <w:rPr>
          <w:rStyle w:val="apple-converted-space"/>
          <w:lang w:val="en-US"/>
        </w:rPr>
        <w:t> </w:t>
      </w:r>
      <w:r w:rsidR="00AA3725">
        <w:fldChar w:fldCharType="begin"/>
      </w:r>
      <w:r w:rsidR="00AA3725" w:rsidRPr="003E0431">
        <w:rPr>
          <w:lang w:val="en-US"/>
        </w:rPr>
        <w:instrText>HYPERLINK "https://en.wikipedia.org/wiki/President_of_Turkmenistan" \o "President of Turkmenistan"</w:instrText>
      </w:r>
      <w:r w:rsidR="00AA3725">
        <w:fldChar w:fldCharType="separate"/>
      </w:r>
      <w:r w:rsidRPr="00C40532">
        <w:rPr>
          <w:rStyle w:val="a5"/>
          <w:lang w:val="en-US"/>
        </w:rPr>
        <w:t>President of Turkmenistan</w:t>
      </w:r>
      <w:r w:rsidR="00AA3725">
        <w:fldChar w:fldCharType="end"/>
      </w:r>
      <w:r w:rsidRPr="00C40532">
        <w:rPr>
          <w:rStyle w:val="apple-converted-space"/>
          <w:lang w:val="en-US"/>
        </w:rPr>
        <w:t> </w:t>
      </w:r>
      <w:r w:rsidRPr="00C40532">
        <w:rPr>
          <w:lang w:val="en-US"/>
        </w:rPr>
        <w:t>submits to the</w:t>
      </w:r>
      <w:r w:rsidRPr="00C40532">
        <w:rPr>
          <w:rStyle w:val="apple-converted-space"/>
          <w:lang w:val="en-US"/>
        </w:rPr>
        <w:t> </w:t>
      </w:r>
      <w:r w:rsidR="00AA3725">
        <w:fldChar w:fldCharType="begin"/>
      </w:r>
      <w:r w:rsidR="00AA3725" w:rsidRPr="003E0431">
        <w:rPr>
          <w:lang w:val="en-US"/>
        </w:rPr>
        <w:instrText>HYPERLINK "https://en.wikipedia.org/wiki/Assembly_of_Turkmenistan" \o "Assembly of Turkmenistan"</w:instrText>
      </w:r>
      <w:r w:rsidR="00AA3725">
        <w:fldChar w:fldCharType="separate"/>
      </w:r>
      <w:r w:rsidRPr="00C40532">
        <w:rPr>
          <w:rStyle w:val="a5"/>
          <w:lang w:val="en-US"/>
        </w:rPr>
        <w:t>Assembly of Turkmenistan</w:t>
      </w:r>
      <w:r w:rsidR="00AA3725">
        <w:fldChar w:fldCharType="end"/>
      </w:r>
      <w:r w:rsidRPr="00C40532">
        <w:rPr>
          <w:rStyle w:val="apple-converted-space"/>
          <w:lang w:val="en-US"/>
        </w:rPr>
        <w:t> </w:t>
      </w:r>
      <w:r w:rsidRPr="00C40532">
        <w:rPr>
          <w:lang w:val="en-US"/>
        </w:rPr>
        <w:t>(Mejlis) the State budget draft for consideration and adoption. Budget statistics are unreliable because the government spends large amounts of extra-budgetary funds. In 2012, it is estimated that the budget expenditures are US$26.9 billion, and revenues are US$26.4 billion, creating a slight deficit.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pStyle w:val="3"/>
        <w:shd w:val="clear" w:color="auto" w:fill="FFFFFF"/>
        <w:spacing w:before="0" w:line="240" w:lineRule="auto"/>
        <w:ind w:firstLine="567"/>
        <w:rPr>
          <w:rFonts w:ascii="Times New Roman" w:hAnsi="Times New Roman" w:cs="Times New Roman"/>
          <w:color w:val="000000"/>
          <w:sz w:val="24"/>
          <w:szCs w:val="24"/>
          <w:lang w:val="en-US"/>
        </w:rPr>
      </w:pPr>
      <w:r w:rsidRPr="00C40532">
        <w:rPr>
          <w:rStyle w:val="mw-headline"/>
          <w:rFonts w:ascii="Times New Roman" w:hAnsi="Times New Roman" w:cs="Times New Roman"/>
          <w:color w:val="000000"/>
          <w:sz w:val="24"/>
          <w:szCs w:val="24"/>
          <w:lang w:val="en-US"/>
        </w:rPr>
        <w:lastRenderedPageBreak/>
        <w:t>Banking</w:t>
      </w:r>
    </w:p>
    <w:p w:rsidR="00472A60" w:rsidRPr="00C40532" w:rsidRDefault="00472A60" w:rsidP="00472A60">
      <w:pPr>
        <w:pStyle w:val="a6"/>
        <w:shd w:val="clear" w:color="auto" w:fill="FFFFFF"/>
        <w:spacing w:before="0" w:beforeAutospacing="0" w:after="0" w:afterAutospacing="0"/>
        <w:ind w:firstLine="567"/>
        <w:jc w:val="both"/>
        <w:rPr>
          <w:lang w:val="en-US"/>
        </w:rPr>
      </w:pPr>
      <w:r w:rsidRPr="00C40532">
        <w:rPr>
          <w:lang w:val="en-US"/>
        </w:rPr>
        <w:t>The financial system is under full state control. The banking system, which was reduced substantially after the 1998 financial crisis, includes 12 national banks. These institutions have the same basic division of responsibility as in the Soviet era, overseen by the</w:t>
      </w:r>
      <w:r w:rsidRPr="00C40532">
        <w:rPr>
          <w:rStyle w:val="apple-converted-space"/>
          <w:lang w:val="en-US"/>
        </w:rPr>
        <w:t> </w:t>
      </w:r>
      <w:r w:rsidR="00AA3725">
        <w:fldChar w:fldCharType="begin"/>
      </w:r>
      <w:r w:rsidR="00AA3725" w:rsidRPr="003E0431">
        <w:rPr>
          <w:lang w:val="en-US"/>
        </w:rPr>
        <w:instrText>HYPERLINK "https://en.wikipedia.org/wiki/Central_Bank_of_Turkmenistan" \o "Central Bank of Turkmenistan"</w:instrText>
      </w:r>
      <w:r w:rsidR="00AA3725">
        <w:fldChar w:fldCharType="separate"/>
      </w:r>
      <w:r w:rsidRPr="00C40532">
        <w:rPr>
          <w:rStyle w:val="a5"/>
          <w:lang w:val="en-US"/>
        </w:rPr>
        <w:t>Central Bank of Turkmenistan</w:t>
      </w:r>
      <w:r w:rsidR="00AA3725">
        <w:fldChar w:fldCharType="end"/>
      </w:r>
      <w:r w:rsidRPr="00C40532">
        <w:rPr>
          <w:lang w:val="en-US"/>
        </w:rPr>
        <w:t>. Lending operations and household savings have not been important functions of this system. In 2005 an estimated 95 percent of loans went to state enterprises. Turkmengosstrakh, the state insurance firm, has a complete monopoly of the very small insurance industry.</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color w:val="555555"/>
          <w:sz w:val="24"/>
          <w:szCs w:val="24"/>
          <w:lang w:val="en-US"/>
        </w:rPr>
      </w:pPr>
      <w:r w:rsidRPr="00C40532">
        <w:rPr>
          <w:rFonts w:ascii="Times New Roman" w:hAnsi="Times New Roman" w:cs="Times New Roman"/>
          <w:b/>
          <w:bCs/>
          <w:sz w:val="24"/>
          <w:szCs w:val="24"/>
          <w:lang w:val="en-US"/>
        </w:rPr>
        <w:t>BANKS</w:t>
      </w:r>
      <w:r w:rsidRPr="00C40532">
        <w:rPr>
          <w:rFonts w:ascii="Times New Roman" w:hAnsi="Times New Roman" w:cs="Times New Roman"/>
          <w:color w:val="555555"/>
          <w:sz w:val="24"/>
          <w:szCs w:val="24"/>
          <w:lang w:val="en-US"/>
        </w:rPr>
        <w:t xml:space="preserve"> </w:t>
      </w:r>
    </w:p>
    <w:p w:rsidR="00DF3344"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Since 1991, with the creation of a new independent state, also the </w:t>
      </w:r>
      <w:r w:rsidRPr="00C40532">
        <w:rPr>
          <w:rFonts w:ascii="Times New Roman" w:hAnsi="Times New Roman" w:cs="Times New Roman"/>
          <w:bCs/>
          <w:sz w:val="24"/>
          <w:szCs w:val="24"/>
          <w:lang w:val="en-US"/>
        </w:rPr>
        <w:t>banking system</w:t>
      </w:r>
      <w:r w:rsidRPr="00C40532">
        <w:rPr>
          <w:rFonts w:ascii="Times New Roman" w:hAnsi="Times New Roman" w:cs="Times New Roman"/>
          <w:sz w:val="24"/>
          <w:szCs w:val="24"/>
          <w:lang w:val="en-US"/>
        </w:rPr>
        <w:t xml:space="preserve"> of the country has entered upon a period of renewal. At the moment the banking system of Turkmenistan is </w:t>
      </w:r>
      <w:proofErr w:type="gramStart"/>
      <w:r w:rsidRPr="00C40532">
        <w:rPr>
          <w:rFonts w:ascii="Times New Roman" w:hAnsi="Times New Roman" w:cs="Times New Roman"/>
          <w:sz w:val="24"/>
          <w:szCs w:val="24"/>
          <w:lang w:val="en-US"/>
        </w:rPr>
        <w:t>constituited</w:t>
      </w:r>
      <w:r w:rsidR="00DF3344">
        <w:rPr>
          <w:rFonts w:ascii="Times New Roman" w:hAnsi="Times New Roman" w:cs="Times New Roman"/>
          <w:sz w:val="24"/>
          <w:szCs w:val="24"/>
          <w:lang w:val="en-US"/>
        </w:rPr>
        <w:t xml:space="preserve"> </w:t>
      </w:r>
      <w:r w:rsidRPr="00C40532">
        <w:rPr>
          <w:rFonts w:ascii="Times New Roman" w:hAnsi="Times New Roman" w:cs="Times New Roman"/>
          <w:sz w:val="24"/>
          <w:szCs w:val="24"/>
          <w:lang w:val="en-US"/>
        </w:rPr>
        <w:t xml:space="preserve"> by</w:t>
      </w:r>
      <w:proofErr w:type="gramEnd"/>
      <w:r w:rsidRPr="00C40532">
        <w:rPr>
          <w:rFonts w:ascii="Times New Roman" w:hAnsi="Times New Roman" w:cs="Times New Roman"/>
          <w:sz w:val="24"/>
          <w:szCs w:val="24"/>
          <w:lang w:val="en-US"/>
        </w:rPr>
        <w:t xml:space="preserve"> the central bank and by some </w:t>
      </w:r>
      <w:hyperlink r:id="rId131" w:history="1">
        <w:r w:rsidRPr="00C40532">
          <w:rPr>
            <w:rFonts w:ascii="Times New Roman" w:hAnsi="Times New Roman" w:cs="Times New Roman"/>
            <w:sz w:val="24"/>
            <w:szCs w:val="24"/>
            <w:lang w:val="en-US"/>
          </w:rPr>
          <w:t>commercial banks</w:t>
        </w:r>
      </w:hyperlink>
      <w:r w:rsidRPr="00C40532">
        <w:rPr>
          <w:rFonts w:ascii="Times New Roman" w:hAnsi="Times New Roman" w:cs="Times New Roman"/>
          <w:sz w:val="24"/>
          <w:szCs w:val="24"/>
          <w:lang w:val="en-US"/>
        </w:rPr>
        <w:t>.</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The Central Bank of Turkmenistan is at the top of the banking system and establishes the rules that regulate the functioning of the sector in the country. The </w:t>
      </w:r>
      <w:r w:rsidR="00AA3725">
        <w:fldChar w:fldCharType="begin"/>
      </w:r>
      <w:r w:rsidR="00AA3725" w:rsidRPr="003E0431">
        <w:rPr>
          <w:lang w:val="en-US"/>
        </w:rPr>
        <w:instrText>HYPERLINK "http://www.turkmenistan.it/banchecommercialigb.html"</w:instrText>
      </w:r>
      <w:r w:rsidR="00AA3725">
        <w:fldChar w:fldCharType="separate"/>
      </w:r>
      <w:r w:rsidRPr="00C40532">
        <w:rPr>
          <w:rFonts w:ascii="Times New Roman" w:hAnsi="Times New Roman" w:cs="Times New Roman"/>
          <w:sz w:val="24"/>
          <w:szCs w:val="24"/>
          <w:lang w:val="en-US"/>
        </w:rPr>
        <w:t>commercial banks</w:t>
      </w:r>
      <w:r w:rsidR="00AA3725">
        <w:fldChar w:fldCharType="end"/>
      </w:r>
      <w:r w:rsidRPr="00C40532">
        <w:rPr>
          <w:rFonts w:ascii="Times New Roman" w:hAnsi="Times New Roman" w:cs="Times New Roman"/>
          <w:sz w:val="24"/>
          <w:szCs w:val="24"/>
          <w:lang w:val="en-US"/>
        </w:rPr>
        <w:t> prevalently carry on the function of running financial relations between private companies and the state. They can be divided into state-owned and joint-stock companies. The first ones utilize exclusively public capital and are prefer-red by the state for its banking operations, while the private banks utilize essentially private capitals, even if some shares can be owned by the state itself. The </w:t>
      </w:r>
      <w:r w:rsidR="00AA3725">
        <w:fldChar w:fldCharType="begin"/>
      </w:r>
      <w:r w:rsidR="00AA3725" w:rsidRPr="003E0431">
        <w:rPr>
          <w:lang w:val="en-US"/>
        </w:rPr>
        <w:instrText>HYPERLINK "http://www.turkmenistan.it/banchecommercialigb.html"</w:instrText>
      </w:r>
      <w:r w:rsidR="00AA3725">
        <w:fldChar w:fldCharType="separate"/>
      </w:r>
      <w:r w:rsidRPr="00C40532">
        <w:rPr>
          <w:rFonts w:ascii="Times New Roman" w:hAnsi="Times New Roman" w:cs="Times New Roman"/>
          <w:sz w:val="24"/>
          <w:szCs w:val="24"/>
          <w:lang w:val="en-US"/>
        </w:rPr>
        <w:t>commercial banks</w:t>
      </w:r>
      <w:r w:rsidR="00AA3725">
        <w:fldChar w:fldCharType="end"/>
      </w:r>
      <w:r w:rsidRPr="00C40532">
        <w:rPr>
          <w:rFonts w:ascii="Times New Roman" w:hAnsi="Times New Roman" w:cs="Times New Roman"/>
          <w:sz w:val="24"/>
          <w:szCs w:val="24"/>
          <w:lang w:val="en-US"/>
        </w:rPr>
        <w:t>operating in Turkmenistan are at the moment altogether thirteen, while the presence of </w:t>
      </w:r>
      <w:r w:rsidR="00AA3725">
        <w:fldChar w:fldCharType="begin"/>
      </w:r>
      <w:r w:rsidR="00AA3725" w:rsidRPr="003E0431">
        <w:rPr>
          <w:lang w:val="en-US"/>
        </w:rPr>
        <w:instrText>HYPERLINK "http://www.turkmenistan.it/bancheesteregb.html"</w:instrText>
      </w:r>
      <w:r w:rsidR="00AA3725">
        <w:fldChar w:fldCharType="separate"/>
      </w:r>
      <w:r w:rsidRPr="00C40532">
        <w:rPr>
          <w:rFonts w:ascii="Times New Roman" w:hAnsi="Times New Roman" w:cs="Times New Roman"/>
          <w:sz w:val="24"/>
          <w:szCs w:val="24"/>
          <w:lang w:val="en-US"/>
        </w:rPr>
        <w:t>foreign banks</w:t>
      </w:r>
      <w:r w:rsidR="00AA3725">
        <w:fldChar w:fldCharType="end"/>
      </w:r>
      <w:r w:rsidRPr="00C40532">
        <w:rPr>
          <w:rFonts w:ascii="Times New Roman" w:hAnsi="Times New Roman" w:cs="Times New Roman"/>
          <w:sz w:val="24"/>
          <w:szCs w:val="24"/>
          <w:lang w:val="en-US"/>
        </w:rPr>
        <w:t> is restricted to the presence of a Pakistani credit institution and of a representative body of Deutsche Bank. The nationa</w:t>
      </w:r>
      <w:r w:rsidR="00DF3344" w:rsidRPr="00DF3344">
        <w:rPr>
          <w:rFonts w:ascii="Times New Roman" w:hAnsi="Times New Roman" w:cs="Times New Roman"/>
          <w:sz w:val="24"/>
          <w:szCs w:val="24"/>
          <w:lang w:val="en-US"/>
        </w:rPr>
        <w:t xml:space="preserve">l </w:t>
      </w:r>
      <w:r w:rsidR="00AA3725">
        <w:fldChar w:fldCharType="begin"/>
      </w:r>
      <w:r w:rsidR="00AA3725" w:rsidRPr="003E0431">
        <w:rPr>
          <w:lang w:val="en-US"/>
        </w:rPr>
        <w:instrText>HYPERLINK "http://www.turkmenistan.it/banchecommercialigb.html"</w:instrText>
      </w:r>
      <w:r w:rsidR="00AA3725">
        <w:fldChar w:fldCharType="separate"/>
      </w:r>
      <w:r w:rsidRPr="00C40532">
        <w:rPr>
          <w:rFonts w:ascii="Times New Roman" w:hAnsi="Times New Roman" w:cs="Times New Roman"/>
          <w:sz w:val="24"/>
          <w:szCs w:val="24"/>
          <w:lang w:val="en-US"/>
        </w:rPr>
        <w:t>commercial banks</w:t>
      </w:r>
      <w:r w:rsidR="00AA3725">
        <w:fldChar w:fldCharType="end"/>
      </w:r>
      <w:r w:rsidRPr="00C40532">
        <w:rPr>
          <w:rFonts w:ascii="Times New Roman" w:hAnsi="Times New Roman" w:cs="Times New Roman"/>
          <w:sz w:val="24"/>
          <w:szCs w:val="24"/>
          <w:lang w:val="en-US"/>
        </w:rPr>
        <w:t> and the </w:t>
      </w:r>
      <w:r w:rsidR="00AA3725">
        <w:fldChar w:fldCharType="begin"/>
      </w:r>
      <w:r w:rsidR="00AA3725" w:rsidRPr="003E0431">
        <w:rPr>
          <w:lang w:val="en-US"/>
        </w:rPr>
        <w:instrText>HYPERLINK "http://www.turkmenistan.it/bancheesteregb.html"</w:instrText>
      </w:r>
      <w:r w:rsidR="00AA3725">
        <w:fldChar w:fldCharType="separate"/>
      </w:r>
      <w:r w:rsidRPr="00C40532">
        <w:rPr>
          <w:rFonts w:ascii="Times New Roman" w:hAnsi="Times New Roman" w:cs="Times New Roman"/>
          <w:sz w:val="24"/>
          <w:szCs w:val="24"/>
          <w:lang w:val="en-US"/>
        </w:rPr>
        <w:t>foreign banks</w:t>
      </w:r>
      <w:r w:rsidR="00AA3725">
        <w:fldChar w:fldCharType="end"/>
      </w:r>
      <w:r w:rsidRPr="00C40532">
        <w:rPr>
          <w:rFonts w:ascii="Times New Roman" w:hAnsi="Times New Roman" w:cs="Times New Roman"/>
          <w:sz w:val="24"/>
          <w:szCs w:val="24"/>
          <w:lang w:val="en-US"/>
        </w:rPr>
        <w:t> operating at the moment in the country are listed in the special Tables.</w:t>
      </w: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r w:rsidRPr="00C40532">
        <w:rPr>
          <w:rFonts w:ascii="Times New Roman" w:hAnsi="Times New Roman" w:cs="Times New Roman"/>
          <w:sz w:val="24"/>
          <w:szCs w:val="24"/>
          <w:lang w:val="en-US"/>
        </w:rPr>
        <w:t>From a practical point of view banks last years have considerably widened the range of services offered to customers, including among them money transfers by swift and the utilize of the main international credit cards.</w:t>
      </w:r>
    </w:p>
    <w:p w:rsidR="00472A60" w:rsidRPr="00C40532" w:rsidRDefault="00472A60" w:rsidP="00472A60">
      <w:pPr>
        <w:shd w:val="clear" w:color="auto" w:fill="FFFFFF"/>
        <w:spacing w:after="0" w:line="240" w:lineRule="auto"/>
        <w:ind w:firstLine="567"/>
        <w:jc w:val="both"/>
        <w:rPr>
          <w:rFonts w:ascii="Times New Roman" w:hAnsi="Times New Roman" w:cs="Times New Roman"/>
          <w:b/>
          <w:bCs/>
          <w:color w:val="CC3300"/>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b/>
          <w:bCs/>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tbl>
      <w:tblPr>
        <w:tblW w:w="7020" w:type="dxa"/>
        <w:tblCellSpacing w:w="0" w:type="dxa"/>
        <w:shd w:val="clear" w:color="auto" w:fill="FFFFFF"/>
        <w:tblCellMar>
          <w:left w:w="0" w:type="dxa"/>
          <w:right w:w="0" w:type="dxa"/>
        </w:tblCellMar>
        <w:tblLook w:val="04A0"/>
      </w:tblPr>
      <w:tblGrid>
        <w:gridCol w:w="5268"/>
        <w:gridCol w:w="4420"/>
      </w:tblGrid>
      <w:tr w:rsidR="00472A60" w:rsidRPr="003E0431" w:rsidTr="000A0C98">
        <w:trPr>
          <w:trHeight w:val="1200"/>
          <w:tblCellSpacing w:w="0" w:type="dxa"/>
        </w:trPr>
        <w:tc>
          <w:tcPr>
            <w:tcW w:w="6180" w:type="dxa"/>
            <w:shd w:val="clear" w:color="auto" w:fill="FFFFFF"/>
            <w:vAlign w:val="center"/>
            <w:hideMark/>
          </w:tcPr>
          <w:p w:rsidR="00472A60" w:rsidRPr="00C40532" w:rsidRDefault="00472A60" w:rsidP="000A0C98">
            <w:pPr>
              <w:spacing w:after="0" w:line="240" w:lineRule="auto"/>
              <w:ind w:firstLine="567"/>
              <w:jc w:val="center"/>
              <w:rPr>
                <w:rFonts w:ascii="Times New Roman" w:hAnsi="Times New Roman" w:cs="Times New Roman"/>
                <w:sz w:val="24"/>
                <w:szCs w:val="24"/>
                <w:lang w:val="en-US"/>
              </w:rPr>
            </w:pPr>
          </w:p>
        </w:tc>
        <w:tc>
          <w:tcPr>
            <w:tcW w:w="150" w:type="dxa"/>
            <w:shd w:val="clear" w:color="auto" w:fill="FFFFFF"/>
            <w:vAlign w:val="center"/>
            <w:hideMark/>
          </w:tcPr>
          <w:p w:rsidR="00472A60" w:rsidRPr="00C40532" w:rsidRDefault="00472A60" w:rsidP="000A0C98">
            <w:pPr>
              <w:spacing w:after="0" w:line="240" w:lineRule="auto"/>
              <w:ind w:firstLine="567"/>
              <w:jc w:val="center"/>
              <w:rPr>
                <w:rFonts w:ascii="Times New Roman" w:hAnsi="Times New Roman" w:cs="Times New Roman"/>
                <w:sz w:val="24"/>
                <w:szCs w:val="24"/>
                <w:lang w:val="en-US"/>
              </w:rPr>
            </w:pPr>
          </w:p>
        </w:tc>
      </w:tr>
      <w:tr w:rsidR="00472A60" w:rsidRPr="003E0431" w:rsidTr="00DF3344">
        <w:trPr>
          <w:trHeight w:val="11908"/>
          <w:tblCellSpacing w:w="0" w:type="dxa"/>
        </w:trPr>
        <w:tc>
          <w:tcPr>
            <w:tcW w:w="690" w:type="dxa"/>
            <w:shd w:val="clear" w:color="auto" w:fill="FFFFFF"/>
            <w:hideMark/>
          </w:tcPr>
          <w:tbl>
            <w:tblPr>
              <w:tblpPr w:leftFromText="180" w:rightFromText="180" w:vertAnchor="text" w:horzAnchor="margin" w:tblpY="402"/>
              <w:tblOverlap w:val="never"/>
              <w:tblW w:w="7371" w:type="dxa"/>
              <w:tblCellSpacing w:w="0" w:type="dxa"/>
              <w:shd w:val="clear" w:color="auto" w:fill="FFFDEE"/>
              <w:tblCellMar>
                <w:top w:w="60" w:type="dxa"/>
                <w:left w:w="60" w:type="dxa"/>
                <w:bottom w:w="60" w:type="dxa"/>
                <w:right w:w="60" w:type="dxa"/>
              </w:tblCellMar>
              <w:tblLook w:val="04A0"/>
            </w:tblPr>
            <w:tblGrid>
              <w:gridCol w:w="2228"/>
              <w:gridCol w:w="5143"/>
            </w:tblGrid>
            <w:tr w:rsidR="00472A60" w:rsidRPr="003E0431" w:rsidTr="000A0C98">
              <w:trPr>
                <w:trHeight w:val="12000"/>
                <w:tblCellSpacing w:w="0" w:type="dxa"/>
              </w:trPr>
              <w:tc>
                <w:tcPr>
                  <w:tcW w:w="2228" w:type="dxa"/>
                  <w:shd w:val="clear" w:color="auto" w:fill="FFFDEE"/>
                  <w:hideMark/>
                </w:tcPr>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b/>
                      <w:bCs/>
                      <w:color w:val="555555"/>
                      <w:sz w:val="24"/>
                      <w:szCs w:val="24"/>
                      <w:lang w:val="en-US"/>
                    </w:rPr>
                    <w:lastRenderedPageBreak/>
                    <w:t>Banks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Vneshekonombank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Turkmenbank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Turkmenbashibank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Daykhanbank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Sberbank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Senagat 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Garagum 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Garashsyzlyk 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Turkmen Turkish 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lastRenderedPageBreak/>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color w:val="555555"/>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Russian Turkmen Bank</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p>
                <w:p w:rsidR="00472A60" w:rsidRPr="00C40532" w:rsidRDefault="00472A60" w:rsidP="000A0C98">
                  <w:pPr>
                    <w:spacing w:after="0" w:line="240" w:lineRule="auto"/>
                    <w:ind w:firstLine="567"/>
                    <w:rPr>
                      <w:rFonts w:ascii="Times New Roman" w:hAnsi="Times New Roman" w:cs="Times New Roman"/>
                      <w:sz w:val="24"/>
                      <w:szCs w:val="24"/>
                      <w:lang w:val="en-US"/>
                    </w:rPr>
                  </w:pP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President Bank</w:t>
                  </w:r>
                </w:p>
              </w:tc>
              <w:tc>
                <w:tcPr>
                  <w:tcW w:w="5143" w:type="dxa"/>
                  <w:shd w:val="clear" w:color="auto" w:fill="FFFDEE"/>
                  <w:hideMark/>
                </w:tcPr>
                <w:p w:rsidR="00472A60" w:rsidRPr="00C40532" w:rsidRDefault="00472A60" w:rsidP="000A0C98">
                  <w:pPr>
                    <w:tabs>
                      <w:tab w:val="left" w:pos="122"/>
                      <w:tab w:val="left" w:pos="2815"/>
                    </w:tabs>
                    <w:spacing w:after="0" w:line="240" w:lineRule="auto"/>
                    <w:ind w:left="122" w:right="2208"/>
                    <w:rPr>
                      <w:rFonts w:ascii="Times New Roman" w:hAnsi="Times New Roman" w:cs="Times New Roman"/>
                      <w:sz w:val="24"/>
                      <w:szCs w:val="24"/>
                      <w:lang w:val="en-US"/>
                    </w:rPr>
                  </w:pPr>
                  <w:r w:rsidRPr="00C40532">
                    <w:rPr>
                      <w:rFonts w:ascii="Times New Roman" w:hAnsi="Times New Roman" w:cs="Times New Roman"/>
                      <w:b/>
                      <w:bCs/>
                      <w:color w:val="555555"/>
                      <w:sz w:val="24"/>
                      <w:szCs w:val="24"/>
                      <w:lang w:val="en-US"/>
                    </w:rPr>
                    <w:lastRenderedPageBreak/>
                    <w:t>Main features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 xml:space="preserve">Entirely controlled by </w:t>
                  </w:r>
                  <w:proofErr w:type="gramStart"/>
                  <w:r w:rsidRPr="00C40532">
                    <w:rPr>
                      <w:rFonts w:ascii="Times New Roman" w:hAnsi="Times New Roman" w:cs="Times New Roman"/>
                      <w:color w:val="555555"/>
                      <w:sz w:val="24"/>
                      <w:szCs w:val="24"/>
                      <w:lang w:val="en-US"/>
                    </w:rPr>
                    <w:t>state,</w:t>
                  </w:r>
                  <w:proofErr w:type="gramEnd"/>
                  <w:r w:rsidRPr="00C40532">
                    <w:rPr>
                      <w:rFonts w:ascii="Times New Roman" w:hAnsi="Times New Roman" w:cs="Times New Roman"/>
                      <w:color w:val="555555"/>
                      <w:sz w:val="24"/>
                      <w:szCs w:val="24"/>
                      <w:lang w:val="en-US"/>
                    </w:rPr>
                    <w:t xml:space="preserve"> it is the largest commercial bank in the country. Spe-cialized in operations of foreign trade, it carries on also important credit functions.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Enterely controlled by state, it is specialized in services to population.</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Entirely controlled by state, it is specialized in industrial credit.</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Entirely controlled by state, it is specialized in agricultural credit.</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Entirely controlled by State, it is specialized in gathering savings.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Joint-stock company with private capital, it is specialized in credit to small and me-dium size companies.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Joint-stock company with prevalently priva-te capital, it is specialized in credit to small and medium size companies.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Joint-stock company with private capital, it is specialized in financing for the realiza-tion of infrastructures.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 xml:space="preserve">Joint-stock company connected with the main </w:t>
                  </w:r>
                  <w:r w:rsidRPr="00C40532">
                    <w:rPr>
                      <w:rFonts w:ascii="Times New Roman" w:hAnsi="Times New Roman" w:cs="Times New Roman"/>
                      <w:color w:val="555555"/>
                      <w:sz w:val="24"/>
                      <w:szCs w:val="24"/>
                      <w:lang w:val="en-US"/>
                    </w:rPr>
                    <w:lastRenderedPageBreak/>
                    <w:t>Turkish national bank, it carries on prevalently international financial activity.</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Joint-stock company founded by a Russian bank, it is specialized in operations of fo-reign trade.</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Founded on the initiative of the President of the country, it provides loans on facili-tated conditions to small and medium size private companies operating in the indu-strial sector.</w:t>
                  </w:r>
                </w:p>
              </w:tc>
            </w:tr>
          </w:tbl>
          <w:p w:rsidR="00472A60" w:rsidRPr="00C40532" w:rsidRDefault="00472A60" w:rsidP="000A0C98">
            <w:pPr>
              <w:shd w:val="clear" w:color="auto" w:fill="FFFFFF"/>
              <w:spacing w:after="0" w:line="240" w:lineRule="auto"/>
              <w:ind w:firstLine="567"/>
              <w:jc w:val="both"/>
              <w:rPr>
                <w:rFonts w:ascii="Times New Roman" w:hAnsi="Times New Roman" w:cs="Times New Roman"/>
                <w:b/>
                <w:bCs/>
                <w:sz w:val="24"/>
                <w:szCs w:val="24"/>
                <w:lang w:val="en-US"/>
              </w:rPr>
            </w:pPr>
          </w:p>
          <w:p w:rsidR="00472A60" w:rsidRPr="00C40532" w:rsidRDefault="00472A60" w:rsidP="000A0C98">
            <w:pPr>
              <w:shd w:val="clear" w:color="auto" w:fill="FFFFFF"/>
              <w:spacing w:after="0" w:line="240" w:lineRule="auto"/>
              <w:ind w:firstLine="567"/>
              <w:jc w:val="both"/>
              <w:rPr>
                <w:rFonts w:ascii="Times New Roman" w:hAnsi="Times New Roman" w:cs="Times New Roman"/>
                <w:b/>
                <w:bCs/>
                <w:sz w:val="24"/>
                <w:szCs w:val="24"/>
                <w:lang w:val="en-US"/>
              </w:rPr>
            </w:pPr>
          </w:p>
          <w:p w:rsidR="00472A60" w:rsidRPr="00C40532" w:rsidRDefault="00472A60" w:rsidP="000A0C98">
            <w:pPr>
              <w:spacing w:after="0" w:line="240" w:lineRule="auto"/>
              <w:ind w:firstLine="567"/>
              <w:rPr>
                <w:rFonts w:ascii="Times New Roman" w:hAnsi="Times New Roman" w:cs="Times New Roman"/>
                <w:sz w:val="24"/>
                <w:szCs w:val="24"/>
                <w:lang w:val="en-US"/>
              </w:rPr>
            </w:pPr>
          </w:p>
        </w:tc>
        <w:tc>
          <w:tcPr>
            <w:tcW w:w="6180" w:type="dxa"/>
            <w:shd w:val="clear" w:color="auto" w:fill="FFFDEE"/>
            <w:hideMark/>
          </w:tcPr>
          <w:tbl>
            <w:tblPr>
              <w:tblW w:w="6180" w:type="dxa"/>
              <w:jc w:val="center"/>
              <w:tblCellSpacing w:w="0" w:type="dxa"/>
              <w:shd w:val="clear" w:color="auto" w:fill="FFFDEE"/>
              <w:tblCellMar>
                <w:top w:w="15" w:type="dxa"/>
                <w:left w:w="15" w:type="dxa"/>
                <w:bottom w:w="15" w:type="dxa"/>
                <w:right w:w="15" w:type="dxa"/>
              </w:tblCellMar>
              <w:tblLook w:val="04A0"/>
            </w:tblPr>
            <w:tblGrid>
              <w:gridCol w:w="6180"/>
            </w:tblGrid>
            <w:tr w:rsidR="00472A60" w:rsidRPr="003E0431" w:rsidTr="000A0C98">
              <w:trPr>
                <w:tblCellSpacing w:w="0" w:type="dxa"/>
                <w:jc w:val="center"/>
              </w:trPr>
              <w:tc>
                <w:tcPr>
                  <w:tcW w:w="0" w:type="auto"/>
                  <w:shd w:val="clear" w:color="auto" w:fill="FFFDEE"/>
                  <w:vAlign w:val="center"/>
                  <w:hideMark/>
                </w:tcPr>
                <w:tbl>
                  <w:tblPr>
                    <w:tblW w:w="5000" w:type="pct"/>
                    <w:tblCellSpacing w:w="0" w:type="dxa"/>
                    <w:shd w:val="clear" w:color="auto" w:fill="FFFDEE"/>
                    <w:tblCellMar>
                      <w:top w:w="90" w:type="dxa"/>
                      <w:left w:w="90" w:type="dxa"/>
                      <w:bottom w:w="90" w:type="dxa"/>
                      <w:right w:w="90" w:type="dxa"/>
                    </w:tblCellMar>
                    <w:tblLook w:val="04A0"/>
                  </w:tblPr>
                  <w:tblGrid>
                    <w:gridCol w:w="6150"/>
                  </w:tblGrid>
                  <w:tr w:rsidR="00472A60" w:rsidRPr="003E0431" w:rsidTr="000A0C98">
                    <w:trPr>
                      <w:tblCellSpacing w:w="0" w:type="dxa"/>
                    </w:trPr>
                    <w:tc>
                      <w:tcPr>
                        <w:tcW w:w="0" w:type="auto"/>
                        <w:shd w:val="clear" w:color="auto" w:fill="FFFDEE"/>
                        <w:hideMark/>
                      </w:tcPr>
                      <w:p w:rsidR="00472A60" w:rsidRPr="00C40532" w:rsidRDefault="00472A60" w:rsidP="000A0C98">
                        <w:pPr>
                          <w:spacing w:after="0" w:line="240" w:lineRule="auto"/>
                          <w:ind w:firstLine="567"/>
                          <w:rPr>
                            <w:rFonts w:ascii="Times New Roman" w:hAnsi="Times New Roman" w:cs="Times New Roman"/>
                            <w:sz w:val="24"/>
                            <w:szCs w:val="24"/>
                            <w:lang w:val="en-US"/>
                          </w:rPr>
                        </w:pPr>
                      </w:p>
                    </w:tc>
                  </w:tr>
                </w:tbl>
                <w:p w:rsidR="00472A60" w:rsidRPr="00C40532" w:rsidRDefault="00472A60" w:rsidP="000A0C98">
                  <w:pPr>
                    <w:spacing w:after="0" w:line="240" w:lineRule="auto"/>
                    <w:ind w:firstLine="567"/>
                    <w:rPr>
                      <w:rFonts w:ascii="Times New Roman" w:hAnsi="Times New Roman" w:cs="Times New Roman"/>
                      <w:sz w:val="24"/>
                      <w:szCs w:val="24"/>
                      <w:lang w:val="en-US"/>
                    </w:rPr>
                  </w:pPr>
                </w:p>
              </w:tc>
            </w:tr>
          </w:tbl>
          <w:p w:rsidR="00472A60" w:rsidRPr="00C40532" w:rsidRDefault="00472A60" w:rsidP="000A0C98">
            <w:pPr>
              <w:spacing w:after="0" w:line="240" w:lineRule="auto"/>
              <w:ind w:firstLine="567"/>
              <w:jc w:val="center"/>
              <w:rPr>
                <w:rFonts w:ascii="Times New Roman" w:hAnsi="Times New Roman" w:cs="Times New Roman"/>
                <w:sz w:val="24"/>
                <w:szCs w:val="24"/>
                <w:lang w:val="en-US"/>
              </w:rPr>
            </w:pPr>
          </w:p>
        </w:tc>
      </w:tr>
    </w:tbl>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tbl>
      <w:tblPr>
        <w:tblW w:w="7020" w:type="dxa"/>
        <w:tblCellSpacing w:w="0" w:type="dxa"/>
        <w:shd w:val="clear" w:color="auto" w:fill="FFFFFF"/>
        <w:tblCellMar>
          <w:left w:w="0" w:type="dxa"/>
          <w:right w:w="0" w:type="dxa"/>
        </w:tblCellMar>
        <w:tblLook w:val="04A0"/>
      </w:tblPr>
      <w:tblGrid>
        <w:gridCol w:w="3023"/>
        <w:gridCol w:w="6180"/>
      </w:tblGrid>
      <w:tr w:rsidR="00472A60" w:rsidRPr="00C40532" w:rsidTr="00DF3344">
        <w:trPr>
          <w:trHeight w:val="74"/>
          <w:tblCellSpacing w:w="0" w:type="dxa"/>
        </w:trPr>
        <w:tc>
          <w:tcPr>
            <w:tcW w:w="6180" w:type="dxa"/>
            <w:shd w:val="clear" w:color="auto" w:fill="FFFFFF"/>
            <w:vAlign w:val="center"/>
            <w:hideMark/>
          </w:tcPr>
          <w:tbl>
            <w:tblPr>
              <w:tblpPr w:leftFromText="45" w:rightFromText="45" w:vertAnchor="text"/>
              <w:tblW w:w="3023" w:type="dxa"/>
              <w:tblCellSpacing w:w="0" w:type="dxa"/>
              <w:tblCellMar>
                <w:left w:w="0" w:type="dxa"/>
                <w:right w:w="0" w:type="dxa"/>
              </w:tblCellMar>
              <w:tblLook w:val="04A0"/>
            </w:tblPr>
            <w:tblGrid>
              <w:gridCol w:w="2891"/>
              <w:gridCol w:w="132"/>
            </w:tblGrid>
            <w:tr w:rsidR="00472A60" w:rsidRPr="00C40532" w:rsidTr="000A0C98">
              <w:trPr>
                <w:gridAfter w:val="1"/>
                <w:wAfter w:w="132" w:type="dxa"/>
                <w:trHeight w:val="165"/>
                <w:tblCellSpacing w:w="0" w:type="dxa"/>
              </w:trPr>
              <w:tc>
                <w:tcPr>
                  <w:tcW w:w="2891" w:type="dxa"/>
                  <w:shd w:val="clear" w:color="auto" w:fill="FFFDEE"/>
                  <w:vAlign w:val="center"/>
                  <w:hideMark/>
                </w:tcPr>
                <w:p w:rsidR="00472A60" w:rsidRPr="00C40532" w:rsidRDefault="00472A60" w:rsidP="000A0C98">
                  <w:pPr>
                    <w:spacing w:after="0" w:line="240" w:lineRule="auto"/>
                    <w:ind w:firstLine="567"/>
                    <w:rPr>
                      <w:rFonts w:ascii="Times New Roman" w:hAnsi="Times New Roman" w:cs="Times New Roman"/>
                      <w:sz w:val="24"/>
                      <w:szCs w:val="24"/>
                    </w:rPr>
                  </w:pPr>
                  <w:r w:rsidRPr="00C40532">
                    <w:rPr>
                      <w:rFonts w:ascii="Times New Roman" w:hAnsi="Times New Roman" w:cs="Times New Roman"/>
                      <w:b/>
                      <w:bCs/>
                      <w:color w:val="CC3300"/>
                      <w:sz w:val="24"/>
                      <w:szCs w:val="24"/>
                    </w:rPr>
                    <w:t>FOREIGN BANKS</w:t>
                  </w:r>
                </w:p>
              </w:tc>
            </w:tr>
            <w:tr w:rsidR="00472A60" w:rsidRPr="00C40532" w:rsidTr="000A0C98">
              <w:trPr>
                <w:trHeight w:val="247"/>
                <w:tblCellSpacing w:w="0" w:type="dxa"/>
              </w:trPr>
              <w:tc>
                <w:tcPr>
                  <w:tcW w:w="3023" w:type="dxa"/>
                  <w:gridSpan w:val="2"/>
                  <w:shd w:val="clear" w:color="auto" w:fill="FFFFFF"/>
                  <w:vAlign w:val="center"/>
                  <w:hideMark/>
                </w:tcPr>
                <w:p w:rsidR="00472A60" w:rsidRPr="00C40532" w:rsidRDefault="00472A60" w:rsidP="000A0C98">
                  <w:pPr>
                    <w:spacing w:after="0" w:line="240" w:lineRule="auto"/>
                    <w:ind w:firstLine="567"/>
                    <w:rPr>
                      <w:rFonts w:ascii="Times New Roman" w:hAnsi="Times New Roman" w:cs="Times New Roman"/>
                      <w:sz w:val="24"/>
                      <w:szCs w:val="24"/>
                    </w:rPr>
                  </w:pPr>
                </w:p>
              </w:tc>
            </w:tr>
          </w:tbl>
          <w:p w:rsidR="00472A60" w:rsidRPr="00C40532" w:rsidRDefault="00472A60" w:rsidP="000A0C98">
            <w:pPr>
              <w:spacing w:after="0" w:line="240" w:lineRule="auto"/>
              <w:ind w:firstLine="567"/>
              <w:jc w:val="center"/>
              <w:rPr>
                <w:rFonts w:ascii="Times New Roman" w:hAnsi="Times New Roman" w:cs="Times New Roman"/>
                <w:sz w:val="24"/>
                <w:szCs w:val="24"/>
              </w:rPr>
            </w:pPr>
          </w:p>
        </w:tc>
        <w:tc>
          <w:tcPr>
            <w:tcW w:w="150" w:type="dxa"/>
            <w:shd w:val="clear" w:color="auto" w:fill="FFFFFF"/>
            <w:vAlign w:val="center"/>
            <w:hideMark/>
          </w:tcPr>
          <w:p w:rsidR="00472A60" w:rsidRPr="00C40532" w:rsidRDefault="00472A60" w:rsidP="000A0C98">
            <w:pPr>
              <w:spacing w:after="0" w:line="240" w:lineRule="auto"/>
              <w:ind w:firstLine="567"/>
              <w:jc w:val="center"/>
              <w:rPr>
                <w:rFonts w:ascii="Times New Roman" w:hAnsi="Times New Roman" w:cs="Times New Roman"/>
                <w:sz w:val="24"/>
                <w:szCs w:val="24"/>
              </w:rPr>
            </w:pPr>
          </w:p>
        </w:tc>
      </w:tr>
      <w:tr w:rsidR="00472A60" w:rsidRPr="00C40532" w:rsidTr="000A0C98">
        <w:trPr>
          <w:trHeight w:val="12000"/>
          <w:tblCellSpacing w:w="0" w:type="dxa"/>
        </w:trPr>
        <w:tc>
          <w:tcPr>
            <w:tcW w:w="690" w:type="dxa"/>
            <w:shd w:val="clear" w:color="auto" w:fill="FFFFFF"/>
            <w:hideMark/>
          </w:tcPr>
          <w:p w:rsidR="00472A60" w:rsidRPr="00C40532" w:rsidRDefault="00472A60" w:rsidP="000A0C98">
            <w:pPr>
              <w:spacing w:after="0" w:line="240" w:lineRule="auto"/>
              <w:ind w:firstLine="567"/>
              <w:rPr>
                <w:rFonts w:ascii="Times New Roman" w:hAnsi="Times New Roman" w:cs="Times New Roman"/>
                <w:sz w:val="24"/>
                <w:szCs w:val="24"/>
              </w:rPr>
            </w:pPr>
          </w:p>
        </w:tc>
        <w:tc>
          <w:tcPr>
            <w:tcW w:w="6180" w:type="dxa"/>
            <w:shd w:val="clear" w:color="auto" w:fill="FFFDEE"/>
            <w:hideMark/>
          </w:tcPr>
          <w:tbl>
            <w:tblPr>
              <w:tblW w:w="6180" w:type="dxa"/>
              <w:jc w:val="center"/>
              <w:tblCellSpacing w:w="0" w:type="dxa"/>
              <w:shd w:val="clear" w:color="auto" w:fill="FFFDEE"/>
              <w:tblCellMar>
                <w:top w:w="15" w:type="dxa"/>
                <w:left w:w="15" w:type="dxa"/>
                <w:bottom w:w="15" w:type="dxa"/>
                <w:right w:w="15" w:type="dxa"/>
              </w:tblCellMar>
              <w:tblLook w:val="04A0"/>
            </w:tblPr>
            <w:tblGrid>
              <w:gridCol w:w="6180"/>
            </w:tblGrid>
            <w:tr w:rsidR="00472A60" w:rsidRPr="00C40532" w:rsidTr="000A0C98">
              <w:trPr>
                <w:tblCellSpacing w:w="0" w:type="dxa"/>
                <w:jc w:val="center"/>
              </w:trPr>
              <w:tc>
                <w:tcPr>
                  <w:tcW w:w="0" w:type="auto"/>
                  <w:shd w:val="clear" w:color="auto" w:fill="FFFDEE"/>
                  <w:vAlign w:val="center"/>
                  <w:hideMark/>
                </w:tcPr>
                <w:tbl>
                  <w:tblPr>
                    <w:tblW w:w="5000" w:type="pct"/>
                    <w:tblCellSpacing w:w="0" w:type="dxa"/>
                    <w:shd w:val="clear" w:color="auto" w:fill="FFFDEE"/>
                    <w:tblCellMar>
                      <w:top w:w="90" w:type="dxa"/>
                      <w:left w:w="90" w:type="dxa"/>
                      <w:bottom w:w="90" w:type="dxa"/>
                      <w:right w:w="90" w:type="dxa"/>
                    </w:tblCellMar>
                    <w:tblLook w:val="04A0"/>
                  </w:tblPr>
                  <w:tblGrid>
                    <w:gridCol w:w="6150"/>
                  </w:tblGrid>
                  <w:tr w:rsidR="00472A60" w:rsidRPr="00C40532" w:rsidTr="000A0C98">
                    <w:trPr>
                      <w:tblCellSpacing w:w="0" w:type="dxa"/>
                    </w:trPr>
                    <w:tc>
                      <w:tcPr>
                        <w:tcW w:w="0" w:type="auto"/>
                        <w:shd w:val="clear" w:color="auto" w:fill="FFFDEE"/>
                        <w:hideMark/>
                      </w:tcPr>
                      <w:tbl>
                        <w:tblPr>
                          <w:tblW w:w="5000" w:type="pct"/>
                          <w:tblCellSpacing w:w="0" w:type="dxa"/>
                          <w:shd w:val="clear" w:color="auto" w:fill="FFFDEE"/>
                          <w:tblCellMar>
                            <w:top w:w="60" w:type="dxa"/>
                            <w:left w:w="60" w:type="dxa"/>
                            <w:bottom w:w="60" w:type="dxa"/>
                            <w:right w:w="60" w:type="dxa"/>
                          </w:tblCellMar>
                          <w:tblLook w:val="04A0"/>
                        </w:tblPr>
                        <w:tblGrid>
                          <w:gridCol w:w="2168"/>
                          <w:gridCol w:w="3802"/>
                        </w:tblGrid>
                        <w:tr w:rsidR="00472A60" w:rsidRPr="00C40532" w:rsidTr="000A0C98">
                          <w:trPr>
                            <w:trHeight w:val="12000"/>
                            <w:tblCellSpacing w:w="0" w:type="dxa"/>
                          </w:trPr>
                          <w:tc>
                            <w:tcPr>
                              <w:tcW w:w="2070" w:type="dxa"/>
                              <w:shd w:val="clear" w:color="auto" w:fill="FFFDEE"/>
                              <w:hideMark/>
                            </w:tcPr>
                            <w:p w:rsidR="00472A60" w:rsidRPr="00C40532" w:rsidRDefault="00472A60" w:rsidP="000A0C98">
                              <w:pPr>
                                <w:spacing w:after="0" w:line="240" w:lineRule="auto"/>
                                <w:ind w:firstLine="567"/>
                                <w:rPr>
                                  <w:rFonts w:ascii="Times New Roman" w:hAnsi="Times New Roman" w:cs="Times New Roman"/>
                                  <w:sz w:val="24"/>
                                  <w:szCs w:val="24"/>
                                  <w:lang w:val="en-US"/>
                                </w:rPr>
                              </w:pPr>
                              <w:r w:rsidRPr="00C40532">
                                <w:rPr>
                                  <w:rFonts w:ascii="Times New Roman" w:hAnsi="Times New Roman" w:cs="Times New Roman"/>
                                  <w:b/>
                                  <w:bCs/>
                                  <w:color w:val="555555"/>
                                  <w:sz w:val="24"/>
                                  <w:szCs w:val="24"/>
                                  <w:lang w:val="en-US"/>
                                </w:rPr>
                                <w:t>Banks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National Bank of Pakistan</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b/>
                                  <w:bCs/>
                                  <w:color w:val="555555"/>
                                  <w:sz w:val="24"/>
                                  <w:szCs w:val="24"/>
                                  <w:lang w:val="en-US"/>
                                </w:rPr>
                                <w:t>Deutsche Bank</w:t>
                              </w:r>
                            </w:p>
                          </w:tc>
                          <w:tc>
                            <w:tcPr>
                              <w:tcW w:w="3630" w:type="dxa"/>
                              <w:shd w:val="clear" w:color="auto" w:fill="FFFDEE"/>
                              <w:hideMark/>
                            </w:tcPr>
                            <w:p w:rsidR="00472A60" w:rsidRPr="00C40532" w:rsidRDefault="00472A60" w:rsidP="000A0C98">
                              <w:pPr>
                                <w:spacing w:after="0" w:line="240" w:lineRule="auto"/>
                                <w:ind w:firstLine="567"/>
                                <w:rPr>
                                  <w:rFonts w:ascii="Times New Roman" w:hAnsi="Times New Roman" w:cs="Times New Roman"/>
                                  <w:sz w:val="24"/>
                                  <w:szCs w:val="24"/>
                                </w:rPr>
                              </w:pPr>
                              <w:r w:rsidRPr="00C40532">
                                <w:rPr>
                                  <w:rFonts w:ascii="Times New Roman" w:hAnsi="Times New Roman" w:cs="Times New Roman"/>
                                  <w:b/>
                                  <w:bCs/>
                                  <w:color w:val="555555"/>
                                  <w:sz w:val="24"/>
                                  <w:szCs w:val="24"/>
                                  <w:lang w:val="en-US"/>
                                </w:rPr>
                                <w:t>Main features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 xml:space="preserve">Pakistani credit </w:t>
                              </w:r>
                              <w:proofErr w:type="gramStart"/>
                              <w:r w:rsidRPr="00C40532">
                                <w:rPr>
                                  <w:rFonts w:ascii="Times New Roman" w:hAnsi="Times New Roman" w:cs="Times New Roman"/>
                                  <w:color w:val="555555"/>
                                  <w:sz w:val="24"/>
                                  <w:szCs w:val="24"/>
                                  <w:lang w:val="en-US"/>
                                </w:rPr>
                                <w:t>institution,</w:t>
                              </w:r>
                              <w:proofErr w:type="gramEnd"/>
                              <w:r w:rsidRPr="00C40532">
                                <w:rPr>
                                  <w:rFonts w:ascii="Times New Roman" w:hAnsi="Times New Roman" w:cs="Times New Roman"/>
                                  <w:color w:val="555555"/>
                                  <w:sz w:val="24"/>
                                  <w:szCs w:val="24"/>
                                  <w:lang w:val="en-US"/>
                                </w:rPr>
                                <w:t xml:space="preserve"> it is specialized in international financial operations.</w:t>
                              </w:r>
                              <w:r w:rsidRPr="00C40532">
                                <w:rPr>
                                  <w:rFonts w:ascii="Times New Roman" w:hAnsi="Times New Roman" w:cs="Times New Roman"/>
                                  <w:color w:val="555555"/>
                                  <w:sz w:val="24"/>
                                  <w:szCs w:val="24"/>
                                  <w:lang w:val="en-US"/>
                                </w:rPr>
                                <w:br/>
                              </w:r>
                              <w:r w:rsidRPr="00C40532">
                                <w:rPr>
                                  <w:rFonts w:ascii="Times New Roman" w:hAnsi="Times New Roman" w:cs="Times New Roman"/>
                                  <w:color w:val="555555"/>
                                  <w:sz w:val="24"/>
                                  <w:szCs w:val="24"/>
                                  <w:lang w:val="en-US"/>
                                </w:rPr>
                                <w:br/>
                                <w:t xml:space="preserve">Representative body of the German bank, it does not effect operations for the public. </w:t>
                              </w:r>
                              <w:r w:rsidRPr="00C40532">
                                <w:rPr>
                                  <w:rFonts w:ascii="Times New Roman" w:hAnsi="Times New Roman" w:cs="Times New Roman"/>
                                  <w:color w:val="555555"/>
                                  <w:sz w:val="24"/>
                                  <w:szCs w:val="24"/>
                                </w:rPr>
                                <w:t>It carries on essentially services of consul-ting.</w:t>
                              </w:r>
                            </w:p>
                          </w:tc>
                        </w:tr>
                      </w:tbl>
                      <w:p w:rsidR="00472A60" w:rsidRPr="00C40532" w:rsidRDefault="00472A60" w:rsidP="000A0C98">
                        <w:pPr>
                          <w:spacing w:after="0" w:line="240" w:lineRule="auto"/>
                          <w:ind w:firstLine="567"/>
                          <w:rPr>
                            <w:rFonts w:ascii="Times New Roman" w:hAnsi="Times New Roman" w:cs="Times New Roman"/>
                            <w:sz w:val="24"/>
                            <w:szCs w:val="24"/>
                          </w:rPr>
                        </w:pPr>
                      </w:p>
                    </w:tc>
                  </w:tr>
                </w:tbl>
                <w:p w:rsidR="00472A60" w:rsidRPr="00C40532" w:rsidRDefault="00472A60" w:rsidP="000A0C98">
                  <w:pPr>
                    <w:spacing w:after="0" w:line="240" w:lineRule="auto"/>
                    <w:ind w:firstLine="567"/>
                    <w:rPr>
                      <w:rFonts w:ascii="Times New Roman" w:hAnsi="Times New Roman" w:cs="Times New Roman"/>
                      <w:sz w:val="24"/>
                      <w:szCs w:val="24"/>
                    </w:rPr>
                  </w:pPr>
                </w:p>
              </w:tc>
            </w:tr>
          </w:tbl>
          <w:p w:rsidR="00472A60" w:rsidRPr="00C40532" w:rsidRDefault="00472A60" w:rsidP="000A0C98">
            <w:pPr>
              <w:spacing w:after="0" w:line="240" w:lineRule="auto"/>
              <w:ind w:firstLine="567"/>
              <w:jc w:val="center"/>
              <w:rPr>
                <w:rFonts w:ascii="Times New Roman" w:hAnsi="Times New Roman" w:cs="Times New Roman"/>
                <w:sz w:val="24"/>
                <w:szCs w:val="24"/>
              </w:rPr>
            </w:pPr>
          </w:p>
        </w:tc>
      </w:tr>
    </w:tbl>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567"/>
        <w:jc w:val="both"/>
        <w:rPr>
          <w:rFonts w:ascii="Times New Roman" w:hAnsi="Times New Roman" w:cs="Times New Roman"/>
          <w:sz w:val="24"/>
          <w:szCs w:val="24"/>
          <w:lang w:val="en-US"/>
        </w:rPr>
      </w:pPr>
    </w:p>
    <w:p w:rsidR="00472A60" w:rsidRPr="00C40532" w:rsidRDefault="00472A60" w:rsidP="00472A60">
      <w:pPr>
        <w:spacing w:after="0" w:line="240" w:lineRule="auto"/>
        <w:ind w:firstLine="709"/>
        <w:jc w:val="both"/>
        <w:rPr>
          <w:rFonts w:ascii="Times New Roman" w:hAnsi="Times New Roman" w:cs="Times New Roman"/>
          <w:sz w:val="24"/>
          <w:szCs w:val="24"/>
          <w:lang w:val="en-US"/>
        </w:rPr>
      </w:pPr>
    </w:p>
    <w:p w:rsidR="00472A60" w:rsidRPr="00C40532" w:rsidRDefault="00472A60" w:rsidP="00472A60">
      <w:pPr>
        <w:spacing w:after="0" w:line="240" w:lineRule="auto"/>
        <w:ind w:firstLine="709"/>
        <w:rPr>
          <w:rFonts w:ascii="Times New Roman" w:hAnsi="Times New Roman" w:cs="Times New Roman"/>
          <w:sz w:val="24"/>
          <w:szCs w:val="24"/>
          <w:lang w:val="en-US"/>
        </w:rPr>
      </w:pPr>
      <w:proofErr w:type="gramStart"/>
      <w:r w:rsidRPr="00DF3344">
        <w:rPr>
          <w:rStyle w:val="hps"/>
          <w:rFonts w:ascii="Times New Roman" w:hAnsi="Times New Roman" w:cs="Times New Roman"/>
          <w:b/>
          <w:sz w:val="24"/>
          <w:szCs w:val="24"/>
          <w:lang w:val="en-US"/>
        </w:rPr>
        <w:t>Theme</w:t>
      </w:r>
      <w:r w:rsidRPr="00DF3344">
        <w:rPr>
          <w:rFonts w:ascii="Times New Roman" w:eastAsia="Times New Roman" w:hAnsi="Times New Roman" w:cs="Times New Roman"/>
          <w:b/>
          <w:sz w:val="24"/>
          <w:szCs w:val="24"/>
          <w:lang w:val="en-US"/>
        </w:rPr>
        <w:t xml:space="preserve"> </w:t>
      </w:r>
      <w:r w:rsidRPr="00DF3344">
        <w:rPr>
          <w:rStyle w:val="hps"/>
          <w:rFonts w:ascii="Times New Roman" w:hAnsi="Times New Roman" w:cs="Times New Roman"/>
          <w:b/>
          <w:sz w:val="24"/>
          <w:szCs w:val="24"/>
          <w:lang w:val="en-US"/>
        </w:rPr>
        <w:t>15.</w:t>
      </w:r>
      <w:proofErr w:type="gramEnd"/>
      <w:r w:rsidRPr="00DF3344">
        <w:rPr>
          <w:rFonts w:ascii="Times New Roman" w:eastAsia="Times New Roman" w:hAnsi="Times New Roman" w:cs="Times New Roman"/>
          <w:b/>
          <w:sz w:val="24"/>
          <w:szCs w:val="24"/>
          <w:lang w:val="en-US"/>
        </w:rPr>
        <w:t xml:space="preserve"> </w:t>
      </w:r>
      <w:r w:rsidRPr="00DF3344">
        <w:rPr>
          <w:rStyle w:val="hps"/>
          <w:rFonts w:ascii="Times New Roman" w:hAnsi="Times New Roman" w:cs="Times New Roman"/>
          <w:b/>
          <w:sz w:val="24"/>
          <w:szCs w:val="24"/>
          <w:lang w:val="en-US"/>
        </w:rPr>
        <w:t>Characteristics of some</w:t>
      </w:r>
      <w:r w:rsidRPr="00DF3344">
        <w:rPr>
          <w:rFonts w:ascii="Times New Roman" w:eastAsia="Times New Roman" w:hAnsi="Times New Roman" w:cs="Times New Roman"/>
          <w:b/>
          <w:sz w:val="24"/>
          <w:szCs w:val="24"/>
          <w:lang w:val="en-US"/>
        </w:rPr>
        <w:t xml:space="preserve"> </w:t>
      </w:r>
      <w:r w:rsidRPr="00DF3344">
        <w:rPr>
          <w:rStyle w:val="hps"/>
          <w:rFonts w:ascii="Times New Roman" w:hAnsi="Times New Roman" w:cs="Times New Roman"/>
          <w:b/>
          <w:sz w:val="24"/>
          <w:szCs w:val="24"/>
          <w:lang w:val="en-US"/>
        </w:rPr>
        <w:t>developed countries,</w:t>
      </w:r>
      <w:r w:rsidRPr="00DF3344">
        <w:rPr>
          <w:rFonts w:ascii="Times New Roman" w:eastAsia="Times New Roman" w:hAnsi="Times New Roman" w:cs="Times New Roman"/>
          <w:b/>
          <w:sz w:val="24"/>
          <w:szCs w:val="24"/>
          <w:lang w:val="en-US"/>
        </w:rPr>
        <w:t xml:space="preserve"> </w:t>
      </w:r>
      <w:r w:rsidRPr="00DF3344">
        <w:rPr>
          <w:rStyle w:val="hps"/>
          <w:rFonts w:ascii="Times New Roman" w:hAnsi="Times New Roman" w:cs="Times New Roman"/>
          <w:b/>
          <w:sz w:val="24"/>
          <w:szCs w:val="24"/>
          <w:lang w:val="en-US"/>
        </w:rPr>
        <w:t>the financial system</w:t>
      </w:r>
      <w:r w:rsidRPr="00DF3344">
        <w:rPr>
          <w:rStyle w:val="hps"/>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Lecture</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29</w:t>
      </w:r>
      <w:r w:rsidRPr="00C40532">
        <w:rPr>
          <w:rFonts w:ascii="Times New Roman" w:eastAsia="Times New Roman" w:hAnsi="Times New Roman" w:cs="Times New Roman"/>
          <w:sz w:val="24"/>
          <w:szCs w:val="24"/>
          <w:lang w:val="en-US"/>
        </w:rPr>
        <w:t>.</w:t>
      </w:r>
      <w:r w:rsidRPr="00C40532">
        <w:rPr>
          <w:rFonts w:ascii="Times New Roman" w:eastAsia="Times New Roman" w:hAnsi="Times New Roman" w:cs="Times New Roman"/>
          <w:sz w:val="24"/>
          <w:szCs w:val="24"/>
          <w:lang w:val="en-US"/>
        </w:rPr>
        <w:br/>
      </w:r>
      <w:r w:rsidRPr="00C40532">
        <w:rPr>
          <w:rStyle w:val="hps"/>
          <w:rFonts w:ascii="Times New Roman" w:hAnsi="Times New Roman" w:cs="Times New Roman"/>
          <w:sz w:val="24"/>
          <w:szCs w:val="24"/>
          <w:lang w:val="en-US"/>
        </w:rPr>
        <w:t>1.</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financial system</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economic development.</w:t>
      </w:r>
      <w:r w:rsidRPr="00C40532">
        <w:rPr>
          <w:rFonts w:ascii="Times New Roman" w:eastAsia="Times New Roman" w:hAnsi="Times New Roman" w:cs="Times New Roman"/>
          <w:sz w:val="24"/>
          <w:szCs w:val="24"/>
          <w:lang w:val="en-US"/>
        </w:rPr>
        <w:br/>
      </w:r>
      <w:r w:rsidRPr="00C40532">
        <w:rPr>
          <w:rStyle w:val="hps"/>
          <w:rFonts w:ascii="Times New Roman" w:hAnsi="Times New Roman" w:cs="Times New Roman"/>
          <w:sz w:val="24"/>
          <w:szCs w:val="24"/>
          <w:lang w:val="en-US"/>
        </w:rPr>
        <w:t>2. Characteristics of</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units</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developed countries</w:t>
      </w:r>
      <w:r w:rsidRPr="00C40532">
        <w:rPr>
          <w:rFonts w:ascii="Times New Roman" w:eastAsia="Times New Roman" w:hAnsi="Times New Roman" w:cs="Times New Roman"/>
          <w:sz w:val="24"/>
          <w:szCs w:val="24"/>
          <w:lang w:val="en-US"/>
        </w:rPr>
        <w:t>.</w:t>
      </w:r>
    </w:p>
    <w:p w:rsidR="00472A60" w:rsidRPr="00C40532" w:rsidRDefault="00472A60" w:rsidP="00472A60">
      <w:pPr>
        <w:spacing w:after="0" w:line="240" w:lineRule="auto"/>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3.</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Features</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Finance</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developed countries.</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place and role</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finances of public</w:t>
      </w:r>
      <w:r w:rsidRPr="00C40532">
        <w:rPr>
          <w:rFonts w:ascii="Times New Roman" w:eastAsia="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enterprises</w:t>
      </w:r>
    </w:p>
    <w:p w:rsidR="00472A60" w:rsidRPr="00C40532" w:rsidRDefault="00472A60" w:rsidP="00472A60">
      <w:pPr>
        <w:spacing w:after="0" w:line="240" w:lineRule="auto"/>
        <w:rPr>
          <w:rStyle w:val="hps"/>
          <w:rFonts w:ascii="Times New Roman" w:hAnsi="Times New Roman" w:cs="Times New Roman"/>
          <w:sz w:val="24"/>
          <w:szCs w:val="24"/>
          <w:lang w:val="en-US"/>
        </w:rPr>
      </w:pPr>
      <w:proofErr w:type="gramStart"/>
      <w:r w:rsidRPr="00C40532">
        <w:rPr>
          <w:rStyle w:val="hps"/>
          <w:rFonts w:ascii="Times New Roman" w:hAnsi="Times New Roman" w:cs="Times New Roman"/>
          <w:sz w:val="24"/>
          <w:szCs w:val="24"/>
          <w:lang w:val="en-US"/>
        </w:rPr>
        <w:t>Lecture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30</w:t>
      </w: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4.</w:t>
      </w:r>
      <w:proofErr w:type="gramEnd"/>
      <w:r w:rsidRPr="00C40532">
        <w:rPr>
          <w:rFonts w:ascii="Times New Roman" w:hAnsi="Times New Roman" w:cs="Times New Roman"/>
          <w:sz w:val="24"/>
          <w:szCs w:val="24"/>
          <w:lang w:val="en-US"/>
        </w:rPr>
        <w:t xml:space="preserve"> </w:t>
      </w:r>
      <w:proofErr w:type="gramStart"/>
      <w:r w:rsidRPr="00C40532">
        <w:rPr>
          <w:rStyle w:val="hps"/>
          <w:rFonts w:ascii="Times New Roman" w:hAnsi="Times New Roman" w:cs="Times New Roman"/>
          <w:sz w:val="24"/>
          <w:szCs w:val="24"/>
          <w:lang w:val="en-US"/>
        </w:rPr>
        <w:t>The nature 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value of</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the state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budget</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and</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its structure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characterization</w:t>
      </w: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5.</w:t>
      </w:r>
      <w:proofErr w:type="gramEnd"/>
      <w:r w:rsidRPr="00C40532">
        <w:rPr>
          <w:rFonts w:ascii="Times New Roman" w:hAnsi="Times New Roman" w:cs="Times New Roman"/>
          <w:sz w:val="24"/>
          <w:szCs w:val="24"/>
          <w:lang w:val="en-US"/>
        </w:rPr>
        <w:t xml:space="preserve"> </w:t>
      </w:r>
      <w:proofErr w:type="gramStart"/>
      <w:r w:rsidRPr="00C40532">
        <w:rPr>
          <w:rStyle w:val="hps"/>
          <w:rFonts w:ascii="Times New Roman" w:hAnsi="Times New Roman" w:cs="Times New Roman"/>
          <w:sz w:val="24"/>
          <w:szCs w:val="24"/>
          <w:lang w:val="en-US"/>
        </w:rPr>
        <w:t>Features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tax system</w:t>
      </w:r>
      <w:r w:rsidRPr="00C40532">
        <w:rPr>
          <w:rFonts w:ascii="Times New Roman" w:hAnsi="Times New Roman" w:cs="Times New Roman"/>
          <w:sz w:val="24"/>
          <w:szCs w:val="24"/>
          <w:lang w:val="en-US"/>
        </w:rPr>
        <w:br/>
      </w:r>
      <w:r w:rsidRPr="00C40532">
        <w:rPr>
          <w:rStyle w:val="hps"/>
          <w:rFonts w:ascii="Times New Roman" w:hAnsi="Times New Roman" w:cs="Times New Roman"/>
          <w:sz w:val="24"/>
          <w:szCs w:val="24"/>
          <w:lang w:val="en-US"/>
        </w:rPr>
        <w:t>6.</w:t>
      </w:r>
      <w:proofErr w:type="gramEnd"/>
      <w:r w:rsidRPr="00C40532">
        <w:rPr>
          <w:rStyle w:val="hps"/>
          <w:rFonts w:ascii="Times New Roman" w:hAnsi="Times New Roman" w:cs="Times New Roman"/>
          <w:sz w:val="24"/>
          <w:szCs w:val="24"/>
          <w:lang w:val="en-US"/>
        </w:rPr>
        <w:t xml:space="preserve"> Evaluation</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World Bank</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on the</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developed countries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problems</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of the financial system</w:t>
      </w:r>
      <w:r w:rsidRPr="00C40532">
        <w:rPr>
          <w:rFonts w:ascii="Times New Roman" w:hAnsi="Times New Roman" w:cs="Times New Roman"/>
          <w:sz w:val="24"/>
          <w:szCs w:val="24"/>
          <w:lang w:val="en-US"/>
        </w:rPr>
        <w:t xml:space="preserve"> </w:t>
      </w:r>
      <w:r w:rsidRPr="00C40532">
        <w:rPr>
          <w:rStyle w:val="hps"/>
          <w:rFonts w:ascii="Times New Roman" w:hAnsi="Times New Roman" w:cs="Times New Roman"/>
          <w:sz w:val="24"/>
          <w:szCs w:val="24"/>
          <w:lang w:val="en-US"/>
        </w:rPr>
        <w:t>in developed countries</w:t>
      </w:r>
    </w:p>
    <w:p w:rsidR="00472A60" w:rsidRPr="00C40532" w:rsidRDefault="00472A60" w:rsidP="00472A60">
      <w:pPr>
        <w:tabs>
          <w:tab w:val="left" w:pos="1021"/>
        </w:tabs>
        <w:spacing w:after="0" w:line="240" w:lineRule="auto"/>
        <w:ind w:firstLine="709"/>
        <w:rPr>
          <w:rStyle w:val="hps"/>
          <w:rFonts w:ascii="Times New Roman" w:hAnsi="Times New Roman" w:cs="Times New Roman"/>
          <w:sz w:val="24"/>
          <w:szCs w:val="24"/>
          <w:lang w:val="en-US"/>
        </w:rPr>
      </w:pPr>
    </w:p>
    <w:p w:rsidR="00472A60" w:rsidRPr="00C40532" w:rsidRDefault="00472A60" w:rsidP="00472A60">
      <w:pPr>
        <w:shd w:val="clear" w:color="auto" w:fill="FFFFFF"/>
        <w:spacing w:after="0" w:line="240" w:lineRule="auto"/>
        <w:ind w:firstLine="709"/>
        <w:jc w:val="both"/>
        <w:textAlignment w:val="baseline"/>
        <w:outlineLvl w:val="1"/>
        <w:rPr>
          <w:rFonts w:ascii="Times New Roman" w:eastAsia="Times New Roman" w:hAnsi="Times New Roman" w:cs="Times New Roman"/>
          <w:b/>
          <w:bCs/>
          <w:sz w:val="24"/>
          <w:szCs w:val="24"/>
          <w:lang w:val="en-US"/>
        </w:rPr>
      </w:pPr>
      <w:r w:rsidRPr="00C40532">
        <w:rPr>
          <w:rFonts w:ascii="Times New Roman" w:eastAsia="Times New Roman" w:hAnsi="Times New Roman" w:cs="Times New Roman"/>
          <w:b/>
          <w:bCs/>
          <w:sz w:val="24"/>
          <w:szCs w:val="24"/>
          <w:lang w:val="en-US"/>
        </w:rPr>
        <w:t>Relationship between financial system and economic development</w:t>
      </w:r>
    </w:p>
    <w:p w:rsidR="00472A60" w:rsidRPr="00C40532" w:rsidRDefault="00472A60" w:rsidP="00472A60">
      <w:pPr>
        <w:shd w:val="clear" w:color="auto" w:fill="FFFFFF"/>
        <w:spacing w:after="0" w:line="240" w:lineRule="auto"/>
        <w:ind w:firstLine="709"/>
        <w:jc w:val="both"/>
        <w:textAlignment w:val="baseline"/>
        <w:rPr>
          <w:rFonts w:ascii="Times New Roman" w:eastAsia="Times New Roman" w:hAnsi="Times New Roman" w:cs="Times New Roman"/>
          <w:sz w:val="24"/>
          <w:szCs w:val="24"/>
          <w:lang w:val="en-US"/>
        </w:rPr>
      </w:pPr>
      <w:r w:rsidRPr="00C40532">
        <w:rPr>
          <w:rFonts w:ascii="Times New Roman" w:eastAsia="Times New Roman" w:hAnsi="Times New Roman" w:cs="Times New Roman"/>
          <w:sz w:val="24"/>
          <w:szCs w:val="24"/>
          <w:lang w:val="en-US"/>
        </w:rPr>
        <w:t>The development of any country depends on the economic growth the country achieves over a period of time. Economic growth deals about investment and production and also the extent of Gross Domestic Product in a country. Only when this grows, the people will experience growth in the form of improved standard of living, namely economic development.</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The following are the</w:t>
      </w:r>
      <w:r w:rsidRPr="00C40532">
        <w:rPr>
          <w:rStyle w:val="apple-converted-space"/>
          <w:b/>
          <w:bCs/>
          <w:bdr w:val="none" w:sz="0" w:space="0" w:color="auto" w:frame="1"/>
          <w:lang w:val="en-US"/>
        </w:rPr>
        <w:t> </w:t>
      </w:r>
      <w:r w:rsidRPr="00C40532">
        <w:rPr>
          <w:rStyle w:val="a3"/>
          <w:rFonts w:eastAsiaTheme="majorEastAsia"/>
          <w:bdr w:val="none" w:sz="0" w:space="0" w:color="auto" w:frame="1"/>
          <w:lang w:val="en-US"/>
        </w:rPr>
        <w:t>roles of financial system</w:t>
      </w:r>
      <w:r w:rsidRPr="00C40532">
        <w:rPr>
          <w:rStyle w:val="apple-converted-space"/>
          <w:lang w:val="en-US"/>
        </w:rPr>
        <w:t> </w:t>
      </w:r>
      <w:r w:rsidRPr="00C40532">
        <w:rPr>
          <w:lang w:val="en-US"/>
        </w:rPr>
        <w:t>in the economic development of a country.</w:t>
      </w:r>
    </w:p>
    <w:p w:rsidR="00472A60" w:rsidRPr="00C40532" w:rsidRDefault="00472A60" w:rsidP="00472A60">
      <w:pPr>
        <w:pStyle w:val="3"/>
        <w:shd w:val="clear" w:color="auto" w:fill="FFFFFF"/>
        <w:spacing w:before="0" w:line="240" w:lineRule="auto"/>
        <w:ind w:firstLine="709"/>
        <w:jc w:val="both"/>
        <w:textAlignment w:val="baseline"/>
        <w:rPr>
          <w:rFonts w:ascii="Times New Roman" w:hAnsi="Times New Roman" w:cs="Times New Roman"/>
          <w:color w:val="auto"/>
          <w:sz w:val="24"/>
          <w:szCs w:val="24"/>
          <w:lang w:val="en-US"/>
        </w:rPr>
      </w:pPr>
      <w:r w:rsidRPr="00C40532">
        <w:rPr>
          <w:rFonts w:ascii="Times New Roman" w:hAnsi="Times New Roman" w:cs="Times New Roman"/>
          <w:color w:val="auto"/>
          <w:sz w:val="24"/>
          <w:szCs w:val="24"/>
          <w:lang w:val="en-US"/>
        </w:rPr>
        <w:t>Savings-investment relationship</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To attain economic development, a country needs more investment and production. This can happen only when there is a facility for savings. As, such savings are channelized to productive resources in the form of investment. Here, the role of financial institutions is important, since they induce the public to save by offering attractive interest rates. These savings are channelized by lending to various business concerns which are involved in production and distribution.</w:t>
      </w:r>
    </w:p>
    <w:p w:rsidR="00472A60" w:rsidRPr="00C40532" w:rsidRDefault="00472A60" w:rsidP="00472A60">
      <w:pPr>
        <w:pStyle w:val="3"/>
        <w:shd w:val="clear" w:color="auto" w:fill="FFFFFF"/>
        <w:spacing w:before="0" w:line="240" w:lineRule="auto"/>
        <w:ind w:firstLine="709"/>
        <w:jc w:val="both"/>
        <w:textAlignment w:val="baseline"/>
        <w:rPr>
          <w:rFonts w:ascii="Times New Roman" w:hAnsi="Times New Roman" w:cs="Times New Roman"/>
          <w:color w:val="auto"/>
          <w:sz w:val="24"/>
          <w:szCs w:val="24"/>
          <w:lang w:val="en-US"/>
        </w:rPr>
      </w:pPr>
      <w:r w:rsidRPr="00C40532">
        <w:rPr>
          <w:rFonts w:ascii="Times New Roman" w:hAnsi="Times New Roman" w:cs="Times New Roman"/>
          <w:color w:val="auto"/>
          <w:sz w:val="24"/>
          <w:szCs w:val="24"/>
          <w:lang w:val="en-US"/>
        </w:rPr>
        <w:t>Financial systems help in growth of capital market</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Any business requires two types of capital namely, fixed capital and working capital. Fixed capital is used for investment in fixed assets, like plant and machinery. While working capital is used for the day-to-day running of business. It is also used for purchase of raw materials and converting them into finished products.</w:t>
      </w:r>
    </w:p>
    <w:p w:rsidR="00472A60" w:rsidRPr="00C40532" w:rsidRDefault="00472A60" w:rsidP="00472A60">
      <w:pPr>
        <w:numPr>
          <w:ilvl w:val="0"/>
          <w:numId w:val="37"/>
        </w:numPr>
        <w:shd w:val="clear" w:color="auto" w:fill="FFFFFF"/>
        <w:spacing w:after="0" w:line="240" w:lineRule="auto"/>
        <w:ind w:left="0" w:firstLine="709"/>
        <w:jc w:val="both"/>
        <w:textAlignment w:val="baseline"/>
        <w:rPr>
          <w:rFonts w:ascii="Times New Roman" w:hAnsi="Times New Roman" w:cs="Times New Roman"/>
          <w:sz w:val="24"/>
          <w:szCs w:val="24"/>
          <w:lang w:val="en-US"/>
        </w:rPr>
      </w:pPr>
      <w:r w:rsidRPr="00C40532">
        <w:rPr>
          <w:rStyle w:val="a3"/>
          <w:rFonts w:ascii="Times New Roman" w:hAnsi="Times New Roman" w:cs="Times New Roman"/>
          <w:sz w:val="24"/>
          <w:szCs w:val="24"/>
          <w:u w:val="single"/>
          <w:bdr w:val="none" w:sz="0" w:space="0" w:color="auto" w:frame="1"/>
          <w:lang w:val="en-US"/>
        </w:rPr>
        <w:t>Fixed capital</w:t>
      </w:r>
      <w:r w:rsidRPr="00C40532">
        <w:rPr>
          <w:rStyle w:val="apple-converted-space"/>
          <w:rFonts w:ascii="Times New Roman" w:hAnsi="Times New Roman" w:cs="Times New Roman"/>
          <w:sz w:val="24"/>
          <w:szCs w:val="24"/>
          <w:lang w:val="en-US"/>
        </w:rPr>
        <w:t> </w:t>
      </w:r>
      <w:r w:rsidRPr="00C40532">
        <w:rPr>
          <w:rFonts w:ascii="Times New Roman" w:hAnsi="Times New Roman" w:cs="Times New Roman"/>
          <w:sz w:val="24"/>
          <w:szCs w:val="24"/>
          <w:lang w:val="en-US"/>
        </w:rPr>
        <w:t>is raised through capital market by the</w:t>
      </w:r>
      <w:r w:rsidRPr="00C40532">
        <w:rPr>
          <w:rStyle w:val="apple-converted-space"/>
          <w:rFonts w:ascii="Times New Roman" w:hAnsi="Times New Roman" w:cs="Times New Roman"/>
          <w:sz w:val="24"/>
          <w:szCs w:val="24"/>
          <w:lang w:val="en-US"/>
        </w:rPr>
        <w:t> </w:t>
      </w:r>
      <w:r w:rsidR="00AA3725">
        <w:fldChar w:fldCharType="begin"/>
      </w:r>
      <w:r w:rsidR="00AA3725" w:rsidRPr="003E0431">
        <w:rPr>
          <w:lang w:val="en-US"/>
        </w:rPr>
        <w:instrText>HYPERLINK "http://accountlearning.com/issue-of-debentures-sebi-guidelines/"</w:instrText>
      </w:r>
      <w:r w:rsidR="00AA3725">
        <w:fldChar w:fldCharType="separate"/>
      </w:r>
      <w:r w:rsidRPr="00C40532">
        <w:rPr>
          <w:rStyle w:val="a5"/>
          <w:rFonts w:ascii="Times New Roman" w:hAnsi="Times New Roman" w:cs="Times New Roman"/>
          <w:sz w:val="24"/>
          <w:szCs w:val="24"/>
          <w:bdr w:val="none" w:sz="0" w:space="0" w:color="auto" w:frame="1"/>
          <w:lang w:val="en-US"/>
        </w:rPr>
        <w:t>issue of debentures</w:t>
      </w:r>
      <w:r w:rsidR="00AA3725">
        <w:fldChar w:fldCharType="end"/>
      </w:r>
      <w:r w:rsidRPr="00C40532">
        <w:rPr>
          <w:rStyle w:val="apple-converted-space"/>
          <w:rFonts w:ascii="Times New Roman" w:hAnsi="Times New Roman" w:cs="Times New Roman"/>
          <w:sz w:val="24"/>
          <w:szCs w:val="24"/>
          <w:lang w:val="en-US"/>
        </w:rPr>
        <w:t> </w:t>
      </w:r>
      <w:r w:rsidRPr="00C40532">
        <w:rPr>
          <w:rFonts w:ascii="Times New Roman" w:hAnsi="Times New Roman" w:cs="Times New Roman"/>
          <w:sz w:val="24"/>
          <w:szCs w:val="24"/>
          <w:lang w:val="en-US"/>
        </w:rPr>
        <w:t>and shares. Public and other financial institutions invest in them in order to get a good return with minimized risks.</w:t>
      </w:r>
    </w:p>
    <w:p w:rsidR="00472A60" w:rsidRPr="00C40532" w:rsidRDefault="00472A60" w:rsidP="00472A60">
      <w:pPr>
        <w:numPr>
          <w:ilvl w:val="0"/>
          <w:numId w:val="37"/>
        </w:numPr>
        <w:shd w:val="clear" w:color="auto" w:fill="FFFFFF"/>
        <w:spacing w:after="0" w:line="240" w:lineRule="auto"/>
        <w:ind w:left="0" w:firstLine="709"/>
        <w:jc w:val="both"/>
        <w:textAlignment w:val="baseline"/>
        <w:rPr>
          <w:rFonts w:ascii="Times New Roman" w:hAnsi="Times New Roman" w:cs="Times New Roman"/>
          <w:sz w:val="24"/>
          <w:szCs w:val="24"/>
          <w:lang w:val="en-US"/>
        </w:rPr>
      </w:pPr>
      <w:r w:rsidRPr="00C40532">
        <w:rPr>
          <w:rFonts w:ascii="Times New Roman" w:hAnsi="Times New Roman" w:cs="Times New Roman"/>
          <w:sz w:val="24"/>
          <w:szCs w:val="24"/>
          <w:lang w:val="en-US"/>
        </w:rPr>
        <w:t>For</w:t>
      </w:r>
      <w:r w:rsidRPr="00C40532">
        <w:rPr>
          <w:rStyle w:val="apple-converted-space"/>
          <w:rFonts w:ascii="Times New Roman" w:hAnsi="Times New Roman" w:cs="Times New Roman"/>
          <w:sz w:val="24"/>
          <w:szCs w:val="24"/>
          <w:lang w:val="en-US"/>
        </w:rPr>
        <w:t> </w:t>
      </w:r>
      <w:r w:rsidRPr="00C40532">
        <w:rPr>
          <w:rStyle w:val="a3"/>
          <w:rFonts w:ascii="Times New Roman" w:hAnsi="Times New Roman" w:cs="Times New Roman"/>
          <w:sz w:val="24"/>
          <w:szCs w:val="24"/>
          <w:u w:val="single"/>
          <w:bdr w:val="none" w:sz="0" w:space="0" w:color="auto" w:frame="1"/>
          <w:lang w:val="en-US"/>
        </w:rPr>
        <w:t>working capital</w:t>
      </w:r>
      <w:r w:rsidRPr="00C40532">
        <w:rPr>
          <w:rFonts w:ascii="Times New Roman" w:hAnsi="Times New Roman" w:cs="Times New Roman"/>
          <w:sz w:val="24"/>
          <w:szCs w:val="24"/>
          <w:lang w:val="en-US"/>
        </w:rPr>
        <w:t>, we have money market, where short-term loans could be raised by the businessmen through the issue of various credit instruments such as bills, promissory notes, etc.</w:t>
      </w:r>
    </w:p>
    <w:p w:rsidR="00472A60" w:rsidRPr="00C40532" w:rsidRDefault="00AA3725" w:rsidP="00472A60">
      <w:pPr>
        <w:pStyle w:val="a6"/>
        <w:shd w:val="clear" w:color="auto" w:fill="FFFFFF"/>
        <w:spacing w:before="0" w:beforeAutospacing="0" w:after="0" w:afterAutospacing="0"/>
        <w:ind w:firstLine="709"/>
        <w:jc w:val="both"/>
        <w:textAlignment w:val="baseline"/>
        <w:rPr>
          <w:lang w:val="en-US"/>
        </w:rPr>
      </w:pPr>
      <w:r>
        <w:fldChar w:fldCharType="begin"/>
      </w:r>
      <w:r w:rsidRPr="003E0431">
        <w:rPr>
          <w:lang w:val="en-US"/>
        </w:rPr>
        <w:instrText>HYPERLINK "http://accountlearning.com/foreign-exchange-market-in-india/"</w:instrText>
      </w:r>
      <w:r>
        <w:fldChar w:fldCharType="separate"/>
      </w:r>
      <w:r w:rsidR="00472A60" w:rsidRPr="00C40532">
        <w:rPr>
          <w:rStyle w:val="a5"/>
          <w:rFonts w:eastAsiaTheme="minorEastAsia"/>
          <w:bdr w:val="none" w:sz="0" w:space="0" w:color="auto" w:frame="1"/>
          <w:lang w:val="en-US"/>
        </w:rPr>
        <w:t>Foreign exchange market</w:t>
      </w:r>
      <w:r>
        <w:fldChar w:fldCharType="end"/>
      </w:r>
      <w:r w:rsidR="00472A60" w:rsidRPr="00C40532">
        <w:rPr>
          <w:rStyle w:val="apple-converted-space"/>
          <w:lang w:val="en-US"/>
        </w:rPr>
        <w:t> </w:t>
      </w:r>
      <w:r w:rsidR="00472A60" w:rsidRPr="00C40532">
        <w:rPr>
          <w:lang w:val="en-US"/>
        </w:rPr>
        <w:t>enables exporters and importers to receive and raise funds for settling transactions. It also enables banks to borrow from and lend to different types of customers in various foreign currencies. The market also provides opportunities for the banks to invest their short term idle funds to earn profits. Even governments are benefited as they can meet their foreign exchange requirements through this market.</w:t>
      </w:r>
    </w:p>
    <w:p w:rsidR="00472A60" w:rsidRPr="00C40532" w:rsidRDefault="00472A60" w:rsidP="00472A60">
      <w:pPr>
        <w:pStyle w:val="3"/>
        <w:shd w:val="clear" w:color="auto" w:fill="FFFFFF"/>
        <w:spacing w:before="0" w:line="240" w:lineRule="auto"/>
        <w:ind w:firstLine="709"/>
        <w:jc w:val="both"/>
        <w:textAlignment w:val="baseline"/>
        <w:rPr>
          <w:rFonts w:ascii="Times New Roman" w:hAnsi="Times New Roman" w:cs="Times New Roman"/>
          <w:color w:val="auto"/>
          <w:sz w:val="24"/>
          <w:szCs w:val="24"/>
          <w:lang w:val="en-US"/>
        </w:rPr>
      </w:pPr>
      <w:r w:rsidRPr="00C40532">
        <w:rPr>
          <w:rFonts w:ascii="Times New Roman" w:hAnsi="Times New Roman" w:cs="Times New Roman"/>
          <w:color w:val="auto"/>
          <w:sz w:val="24"/>
          <w:szCs w:val="24"/>
          <w:lang w:val="en-US"/>
        </w:rPr>
        <w:t>Government Securities market</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Financial system enables the state and central governments to raise both short-term and long-term funds through the issue of bills and bonds which carry attractive rates of interest along with tax concessions. The budgetary gap is filled only with the help of government securities market. Thus, the capital market,</w:t>
      </w:r>
      <w:r w:rsidRPr="00C40532">
        <w:rPr>
          <w:rStyle w:val="apple-converted-space"/>
          <w:lang w:val="en-US"/>
        </w:rPr>
        <w:t> </w:t>
      </w:r>
      <w:r w:rsidR="00AA3725">
        <w:fldChar w:fldCharType="begin"/>
      </w:r>
      <w:r w:rsidR="00AA3725" w:rsidRPr="003E0431">
        <w:rPr>
          <w:lang w:val="en-US"/>
        </w:rPr>
        <w:instrText>HYPERLINK "http://accountlearning.com/growth-of-indian-money-market-steps-taken-by-government/"</w:instrText>
      </w:r>
      <w:r w:rsidR="00AA3725">
        <w:fldChar w:fldCharType="separate"/>
      </w:r>
      <w:r w:rsidRPr="00C40532">
        <w:rPr>
          <w:rStyle w:val="a5"/>
          <w:rFonts w:eastAsiaTheme="minorEastAsia"/>
          <w:bdr w:val="none" w:sz="0" w:space="0" w:color="auto" w:frame="1"/>
          <w:lang w:val="en-US"/>
        </w:rPr>
        <w:t>money market</w:t>
      </w:r>
      <w:r w:rsidR="00AA3725">
        <w:fldChar w:fldCharType="end"/>
      </w:r>
      <w:r w:rsidRPr="00C40532">
        <w:rPr>
          <w:rStyle w:val="apple-converted-space"/>
          <w:lang w:val="en-US"/>
        </w:rPr>
        <w:t> </w:t>
      </w:r>
      <w:r w:rsidRPr="00C40532">
        <w:rPr>
          <w:lang w:val="en-US"/>
        </w:rPr>
        <w:t>along with foreign exchange market and government securities market enable businessmen, industrialists as well as governments to meet their credit requirements. In this way, the development of the economy is ensured by the financial system.</w:t>
      </w:r>
    </w:p>
    <w:p w:rsidR="00472A60" w:rsidRPr="00C40532" w:rsidRDefault="00472A60" w:rsidP="00472A60">
      <w:pPr>
        <w:pStyle w:val="3"/>
        <w:shd w:val="clear" w:color="auto" w:fill="FFFFFF"/>
        <w:spacing w:before="0" w:line="240" w:lineRule="auto"/>
        <w:ind w:firstLine="709"/>
        <w:jc w:val="both"/>
        <w:textAlignment w:val="baseline"/>
        <w:rPr>
          <w:rFonts w:ascii="Times New Roman" w:hAnsi="Times New Roman" w:cs="Times New Roman"/>
          <w:color w:val="auto"/>
          <w:sz w:val="24"/>
          <w:szCs w:val="24"/>
          <w:lang w:val="en-US"/>
        </w:rPr>
      </w:pPr>
      <w:r w:rsidRPr="00C40532">
        <w:rPr>
          <w:rFonts w:ascii="Times New Roman" w:hAnsi="Times New Roman" w:cs="Times New Roman"/>
          <w:color w:val="auto"/>
          <w:sz w:val="24"/>
          <w:szCs w:val="24"/>
          <w:lang w:val="en-US"/>
        </w:rPr>
        <w:lastRenderedPageBreak/>
        <w:t>Financial system helps in Infrastructure and Growth</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Economic development of any country depends on the infrastructure facility available in the country. In the absence of key industries like coal, power and oil, development of other industries will be hampered. It is here that the</w:t>
      </w:r>
      <w:r w:rsidRPr="00C40532">
        <w:rPr>
          <w:rStyle w:val="apple-converted-space"/>
          <w:lang w:val="en-US"/>
        </w:rPr>
        <w:t> </w:t>
      </w:r>
      <w:r w:rsidR="00AA3725">
        <w:fldChar w:fldCharType="begin"/>
      </w:r>
      <w:r w:rsidR="00AA3725" w:rsidRPr="003E0431">
        <w:rPr>
          <w:lang w:val="en-US"/>
        </w:rPr>
        <w:instrText>HYPERLINK "http://accountlearning.com/types-of-financial-services-in-india/"</w:instrText>
      </w:r>
      <w:r w:rsidR="00AA3725">
        <w:fldChar w:fldCharType="separate"/>
      </w:r>
      <w:r w:rsidRPr="00C40532">
        <w:rPr>
          <w:rStyle w:val="a5"/>
          <w:rFonts w:eastAsiaTheme="minorEastAsia"/>
          <w:bdr w:val="none" w:sz="0" w:space="0" w:color="auto" w:frame="1"/>
          <w:lang w:val="en-US"/>
        </w:rPr>
        <w:t>financial services</w:t>
      </w:r>
      <w:r w:rsidR="00AA3725">
        <w:fldChar w:fldCharType="end"/>
      </w:r>
      <w:r w:rsidRPr="00C40532">
        <w:rPr>
          <w:rStyle w:val="apple-converted-space"/>
          <w:lang w:val="en-US"/>
        </w:rPr>
        <w:t> </w:t>
      </w:r>
      <w:r w:rsidRPr="00C40532">
        <w:rPr>
          <w:lang w:val="en-US"/>
        </w:rPr>
        <w:t>play a crucial role by providing funds for the growth of infrastructure industries. Private sector will find it difficult to raise the huge capital needed for setting up infrastructure industries. For a long time, infrastructure industries were started only by the government in India. But now, with the policy of economic liberalization, more private sector industries have come forward to start infrastructure industry. The Development Banks and the Merchant banks help in raising capital for these industries.</w:t>
      </w:r>
    </w:p>
    <w:p w:rsidR="00472A60" w:rsidRPr="00C40532" w:rsidRDefault="00472A60" w:rsidP="00472A60">
      <w:pPr>
        <w:pStyle w:val="3"/>
        <w:shd w:val="clear" w:color="auto" w:fill="FFFFFF"/>
        <w:spacing w:before="0" w:line="240" w:lineRule="auto"/>
        <w:ind w:firstLine="709"/>
        <w:jc w:val="both"/>
        <w:textAlignment w:val="baseline"/>
        <w:rPr>
          <w:rFonts w:ascii="Times New Roman" w:hAnsi="Times New Roman" w:cs="Times New Roman"/>
          <w:color w:val="auto"/>
          <w:sz w:val="24"/>
          <w:szCs w:val="24"/>
          <w:lang w:val="en-US"/>
        </w:rPr>
      </w:pPr>
      <w:r w:rsidRPr="00C40532">
        <w:rPr>
          <w:rFonts w:ascii="Times New Roman" w:hAnsi="Times New Roman" w:cs="Times New Roman"/>
          <w:color w:val="auto"/>
          <w:sz w:val="24"/>
          <w:szCs w:val="24"/>
          <w:lang w:val="en-US"/>
        </w:rPr>
        <w:t>Financial system helps in development of Trade</w:t>
      </w:r>
    </w:p>
    <w:p w:rsidR="00472A60" w:rsidRPr="00C40532" w:rsidRDefault="00472A60" w:rsidP="00472A60">
      <w:pPr>
        <w:pStyle w:val="a6"/>
        <w:shd w:val="clear" w:color="auto" w:fill="FFFFFF"/>
        <w:spacing w:before="0" w:beforeAutospacing="0" w:after="0" w:afterAutospacing="0"/>
        <w:ind w:firstLine="709"/>
        <w:jc w:val="both"/>
        <w:textAlignment w:val="baseline"/>
        <w:rPr>
          <w:lang w:val="en-US"/>
        </w:rPr>
      </w:pPr>
      <w:r w:rsidRPr="00C40532">
        <w:rPr>
          <w:lang w:val="en-US"/>
        </w:rPr>
        <w:t xml:space="preserve">The financial system helps in the promotion of both domestic and foreign trade. The financial institutions finance traders and the financial market helps in discounting financial instruments such as bills. Foreign trade is promoted due to per-shipment and post-shipment finance by commercial banks. They also issue Letter of Credit in favor of the importer. Thus, the precious foreign exchange is earned by the country because of the presence of financial system. The best part of the financial system is that the seller or the </w:t>
      </w:r>
      <w:proofErr w:type="gramStart"/>
      <w:r w:rsidRPr="00C40532">
        <w:rPr>
          <w:lang w:val="en-US"/>
        </w:rPr>
        <w:t>buyer do</w:t>
      </w:r>
      <w:proofErr w:type="gramEnd"/>
      <w:r w:rsidRPr="00C40532">
        <w:rPr>
          <w:lang w:val="en-US"/>
        </w:rPr>
        <w:t xml:space="preserve"> not meet each other and the documents are negotiated through the bank. In this manner, the financial system not only helps the traders but also various financial institutions. Some of the capital goods are sold through</w:t>
      </w:r>
      <w:r w:rsidRPr="00C40532">
        <w:rPr>
          <w:rStyle w:val="apple-converted-space"/>
          <w:lang w:val="en-US"/>
        </w:rPr>
        <w:t> </w:t>
      </w:r>
      <w:r w:rsidR="00AA3725">
        <w:fldChar w:fldCharType="begin"/>
      </w:r>
      <w:r w:rsidR="00AA3725" w:rsidRPr="003E0431">
        <w:rPr>
          <w:lang w:val="en-US"/>
        </w:rPr>
        <w:instrText>HYPERLINK "http://accountlearning.com/difference-between-hire-purchase-and-installment-sale/"</w:instrText>
      </w:r>
      <w:r w:rsidR="00AA3725">
        <w:fldChar w:fldCharType="separate"/>
      </w:r>
      <w:r w:rsidRPr="00C40532">
        <w:rPr>
          <w:rStyle w:val="a5"/>
          <w:rFonts w:eastAsiaTheme="minorEastAsia"/>
          <w:bdr w:val="none" w:sz="0" w:space="0" w:color="auto" w:frame="1"/>
          <w:lang w:val="en-US"/>
        </w:rPr>
        <w:t>hire purchase and installment</w:t>
      </w:r>
      <w:r w:rsidR="00AA3725">
        <w:fldChar w:fldCharType="end"/>
      </w:r>
      <w:r w:rsidRPr="00C40532">
        <w:rPr>
          <w:rStyle w:val="apple-converted-space"/>
          <w:lang w:val="en-US"/>
        </w:rPr>
        <w:t> </w:t>
      </w:r>
      <w:r w:rsidRPr="00C40532">
        <w:rPr>
          <w:lang w:val="en-US"/>
        </w:rPr>
        <w:t>system, both in the domestic and foreign trade. As a result of all these, the growth of the country is speeded up.</w:t>
      </w:r>
    </w:p>
    <w:p w:rsidR="00472A60" w:rsidRPr="00C40532" w:rsidRDefault="00472A60" w:rsidP="00472A60">
      <w:pPr>
        <w:tabs>
          <w:tab w:val="left" w:pos="1021"/>
        </w:tabs>
        <w:spacing w:after="0" w:line="240" w:lineRule="auto"/>
        <w:ind w:firstLine="709"/>
        <w:rPr>
          <w:rStyle w:val="hps"/>
          <w:rFonts w:ascii="Times New Roman" w:hAnsi="Times New Roman" w:cs="Times New Roman"/>
          <w:sz w:val="24"/>
          <w:szCs w:val="24"/>
          <w:lang w:val="en-US"/>
        </w:rPr>
      </w:pPr>
      <w:r w:rsidRPr="00C40532">
        <w:rPr>
          <w:rStyle w:val="hps"/>
          <w:rFonts w:ascii="Times New Roman" w:hAnsi="Times New Roman" w:cs="Times New Roman"/>
          <w:sz w:val="24"/>
          <w:szCs w:val="24"/>
          <w:lang w:val="en-US"/>
        </w:rPr>
        <w:tab/>
      </w:r>
    </w:p>
    <w:p w:rsidR="00472A60" w:rsidRPr="00C40532" w:rsidRDefault="00472A60" w:rsidP="00472A60">
      <w:pPr>
        <w:pStyle w:val="a6"/>
        <w:spacing w:before="0" w:beforeAutospacing="0" w:after="0" w:afterAutospacing="0"/>
        <w:ind w:firstLine="709"/>
        <w:rPr>
          <w:lang w:val="en-US"/>
        </w:rPr>
      </w:pPr>
      <w:r w:rsidRPr="00C40532">
        <w:rPr>
          <w:lang w:val="en-US"/>
        </w:rPr>
        <w:t>Hong Kong’s financial system is the best in the world for supporting economic competitiveness and growth, according to the World Economic Forum’s</w:t>
      </w:r>
      <w:r w:rsidRPr="00C40532">
        <w:rPr>
          <w:rStyle w:val="apple-converted-space"/>
          <w:lang w:val="en-US"/>
        </w:rPr>
        <w:t> </w:t>
      </w:r>
      <w:r w:rsidR="00AA3725">
        <w:fldChar w:fldCharType="begin"/>
      </w:r>
      <w:r w:rsidR="00AA3725" w:rsidRPr="003E0431">
        <w:rPr>
          <w:lang w:val="en-US"/>
        </w:rPr>
        <w:instrText>HYPERLINK "http://www.weforum.org/reports/global-competitiveness-report-2014-2015"</w:instrText>
      </w:r>
      <w:r w:rsidR="00AA3725">
        <w:fldChar w:fldCharType="separate"/>
      </w:r>
      <w:r w:rsidRPr="00C40532">
        <w:rPr>
          <w:rStyle w:val="a5"/>
          <w:lang w:val="en-US"/>
        </w:rPr>
        <w:t>Global Competiveness Report 2014-2015</w:t>
      </w:r>
      <w:r w:rsidR="00AA3725">
        <w:fldChar w:fldCharType="end"/>
      </w:r>
      <w:r w:rsidRPr="00C40532">
        <w:rPr>
          <w:lang w:val="en-US"/>
        </w:rPr>
        <w:t>.</w:t>
      </w:r>
    </w:p>
    <w:p w:rsidR="00472A60" w:rsidRPr="00C40532" w:rsidRDefault="00472A60" w:rsidP="00472A60">
      <w:pPr>
        <w:pStyle w:val="a6"/>
        <w:spacing w:before="0" w:beforeAutospacing="0" w:after="0" w:afterAutospacing="0"/>
        <w:ind w:firstLine="709"/>
        <w:rPr>
          <w:lang w:val="en-US"/>
        </w:rPr>
      </w:pPr>
      <w:r w:rsidRPr="00C40532">
        <w:rPr>
          <w:lang w:val="en-US"/>
        </w:rPr>
        <w:t>The report evaluates the level of development of 144 of the world’s financial systems, based on their efficiency and levels of trustworthiness and confidence, as part of its overall competitiveness ranking.</w:t>
      </w:r>
    </w:p>
    <w:p w:rsidR="00472A60" w:rsidRPr="00C40532" w:rsidRDefault="00472A60" w:rsidP="00472A60">
      <w:pPr>
        <w:spacing w:after="0" w:line="240" w:lineRule="auto"/>
        <w:ind w:firstLine="709"/>
        <w:rPr>
          <w:rFonts w:ascii="Times New Roman" w:hAnsi="Times New Roman" w:cs="Times New Roman"/>
          <w:sz w:val="24"/>
          <w:szCs w:val="24"/>
        </w:rPr>
      </w:pPr>
      <w:r w:rsidRPr="00C40532">
        <w:rPr>
          <w:rFonts w:ascii="Times New Roman" w:hAnsi="Times New Roman" w:cs="Times New Roman"/>
          <w:noProof/>
          <w:sz w:val="24"/>
          <w:szCs w:val="24"/>
        </w:rPr>
        <w:lastRenderedPageBreak/>
        <w:drawing>
          <wp:inline distT="0" distB="0" distL="0" distR="0">
            <wp:extent cx="3994825" cy="3993266"/>
            <wp:effectExtent l="19050" t="0" r="5675" b="0"/>
            <wp:docPr id="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srcRect/>
                    <a:stretch>
                      <a:fillRect/>
                    </a:stretch>
                  </pic:blipFill>
                  <pic:spPr bwMode="auto">
                    <a:xfrm>
                      <a:off x="0" y="0"/>
                      <a:ext cx="3997289" cy="3995729"/>
                    </a:xfrm>
                    <a:prstGeom prst="rect">
                      <a:avLst/>
                    </a:prstGeom>
                    <a:noFill/>
                    <a:ln w="9525">
                      <a:noFill/>
                      <a:miter lim="800000"/>
                      <a:headEnd/>
                      <a:tailEnd/>
                    </a:ln>
                  </pic:spPr>
                </pic:pic>
              </a:graphicData>
            </a:graphic>
          </wp:inline>
        </w:drawing>
      </w:r>
    </w:p>
    <w:p w:rsidR="00472A60" w:rsidRPr="00C40532" w:rsidRDefault="00472A60" w:rsidP="00472A60">
      <w:pPr>
        <w:pStyle w:val="a6"/>
        <w:spacing w:before="0" w:beforeAutospacing="0" w:after="0" w:afterAutospacing="0"/>
        <w:ind w:firstLine="709"/>
        <w:jc w:val="both"/>
        <w:rPr>
          <w:lang w:val="en-US"/>
        </w:rPr>
      </w:pPr>
      <w:r w:rsidRPr="00C40532">
        <w:rPr>
          <w:lang w:val="en-US"/>
        </w:rPr>
        <w:t>The Asia-Pacific region performs strongly, with Singapore, New Zealand, Malaysia and Australia all appearing in the top 10 alongside Hong Kong.</w:t>
      </w:r>
    </w:p>
    <w:p w:rsidR="00472A60" w:rsidRPr="00C40532" w:rsidRDefault="00472A60" w:rsidP="00472A60">
      <w:pPr>
        <w:pStyle w:val="a6"/>
        <w:spacing w:before="0" w:beforeAutospacing="0" w:after="0" w:afterAutospacing="0"/>
        <w:ind w:firstLine="709"/>
        <w:jc w:val="both"/>
        <w:rPr>
          <w:lang w:val="en-US"/>
        </w:rPr>
      </w:pPr>
      <w:r w:rsidRPr="00C40532">
        <w:rPr>
          <w:lang w:val="en-US"/>
        </w:rPr>
        <w:t>Finland, South Africa, Canada, the US and Norway complete the ranking.</w:t>
      </w:r>
    </w:p>
    <w:p w:rsidR="00472A60" w:rsidRPr="00C40532" w:rsidRDefault="00472A60" w:rsidP="00472A60">
      <w:pPr>
        <w:pStyle w:val="a6"/>
        <w:spacing w:before="0" w:beforeAutospacing="0" w:after="0" w:afterAutospacing="0"/>
        <w:ind w:firstLine="709"/>
        <w:jc w:val="both"/>
        <w:rPr>
          <w:lang w:val="en-US"/>
        </w:rPr>
      </w:pPr>
      <w:r w:rsidRPr="00C40532">
        <w:rPr>
          <w:lang w:val="en-US"/>
        </w:rPr>
        <w:t>The data for this measure is taken from a</w:t>
      </w:r>
      <w:r w:rsidRPr="00C40532">
        <w:rPr>
          <w:rStyle w:val="apple-converted-space"/>
          <w:lang w:val="en-US"/>
        </w:rPr>
        <w:t> </w:t>
      </w:r>
      <w:r w:rsidR="00AA3725">
        <w:fldChar w:fldCharType="begin"/>
      </w:r>
      <w:r w:rsidR="00AA3725" w:rsidRPr="003E0431">
        <w:rPr>
          <w:lang w:val="en-US"/>
        </w:rPr>
        <w:instrText>HYPERLINK "http://reports.weforum.org/global-competitiveness-report-2014-2015/technical-notes-and-sources/"</w:instrText>
      </w:r>
      <w:r w:rsidR="00AA3725">
        <w:fldChar w:fldCharType="separate"/>
      </w:r>
      <w:r w:rsidRPr="00C40532">
        <w:rPr>
          <w:rStyle w:val="a5"/>
          <w:lang w:val="en-US"/>
        </w:rPr>
        <w:t>number of sources</w:t>
      </w:r>
      <w:r w:rsidR="00AA3725">
        <w:fldChar w:fldCharType="end"/>
      </w:r>
      <w:r w:rsidRPr="00C40532">
        <w:rPr>
          <w:rStyle w:val="apple-converted-space"/>
          <w:lang w:val="en-US"/>
        </w:rPr>
        <w:t> </w:t>
      </w:r>
      <w:r w:rsidRPr="00C40532">
        <w:rPr>
          <w:lang w:val="en-US"/>
        </w:rPr>
        <w:t>including the World Economic Forum Executive Opinion Survey and the World Bank/International Finance Corporation’s Doing Business 2014: Understanding Regulations for Small and Medium-Size Enterprises report.</w:t>
      </w:r>
    </w:p>
    <w:p w:rsidR="00472A60" w:rsidRPr="00E95A9D" w:rsidRDefault="00472A60"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E95A9D" w:rsidRDefault="00DF3344" w:rsidP="00472A60">
      <w:pPr>
        <w:spacing w:after="0" w:line="240" w:lineRule="auto"/>
        <w:ind w:firstLine="709"/>
        <w:rPr>
          <w:rFonts w:ascii="Times New Roman" w:hAnsi="Times New Roman" w:cs="Times New Roman"/>
          <w:sz w:val="24"/>
          <w:szCs w:val="24"/>
          <w:lang w:val="en-US"/>
        </w:rPr>
      </w:pPr>
    </w:p>
    <w:p w:rsidR="00DF3344" w:rsidRPr="008B4EEF" w:rsidRDefault="007532A4" w:rsidP="00DF3344">
      <w:pPr>
        <w:rPr>
          <w:rFonts w:ascii="Times New Roman" w:eastAsia="Times New Roman" w:hAnsi="Times New Roman" w:cs="Times New Roman"/>
          <w:b/>
          <w:sz w:val="24"/>
          <w:szCs w:val="24"/>
          <w:lang w:val="en-US"/>
        </w:rPr>
      </w:pPr>
      <w:r w:rsidRPr="008B4EEF">
        <w:rPr>
          <w:rFonts w:ascii="Times New Roman" w:hAnsi="Times New Roman" w:cs="Times New Roman"/>
          <w:sz w:val="24"/>
          <w:szCs w:val="24"/>
          <w:lang w:val="en-US"/>
        </w:rPr>
        <w:lastRenderedPageBreak/>
        <w:t xml:space="preserve">                                                                  </w:t>
      </w:r>
      <w:r w:rsidR="00DF3344" w:rsidRPr="00236E17">
        <w:rPr>
          <w:rFonts w:ascii="Times New Roman" w:eastAsia="Times New Roman" w:hAnsi="Times New Roman" w:cs="Times New Roman"/>
          <w:b/>
          <w:sz w:val="24"/>
          <w:szCs w:val="24"/>
          <w:lang w:val="en-US"/>
        </w:rPr>
        <w:t>Bibliography</w:t>
      </w:r>
    </w:p>
    <w:p w:rsidR="00DF3344" w:rsidRPr="002370E0" w:rsidRDefault="00DF3344" w:rsidP="00DF3344">
      <w:pPr>
        <w:rPr>
          <w:rFonts w:ascii="Times New Roman" w:eastAsia="Times New Roman" w:hAnsi="Times New Roman" w:cs="Times New Roman"/>
          <w:sz w:val="24"/>
          <w:szCs w:val="24"/>
          <w:lang w:val="en-US"/>
        </w:rPr>
      </w:pPr>
      <w:r w:rsidRPr="00236E17">
        <w:rPr>
          <w:rFonts w:ascii="Times New Roman" w:eastAsia="Times New Roman" w:hAnsi="Times New Roman" w:cs="Times New Roman"/>
          <w:b/>
          <w:sz w:val="24"/>
          <w:szCs w:val="24"/>
          <w:lang w:val="en-US"/>
        </w:rPr>
        <w:br/>
      </w:r>
      <w:r w:rsidRPr="00236E17">
        <w:rPr>
          <w:rFonts w:ascii="Times New Roman" w:eastAsia="Times New Roman" w:hAnsi="Times New Roman" w:cs="Times New Roman"/>
          <w:sz w:val="24"/>
          <w:szCs w:val="24"/>
          <w:lang w:val="en-US"/>
        </w:rPr>
        <w:t>1. S.N. Alpysbaeva Regional market: laws of formation and de</w:t>
      </w:r>
      <w:r>
        <w:rPr>
          <w:rFonts w:ascii="Times New Roman" w:eastAsia="Times New Roman" w:hAnsi="Times New Roman" w:cs="Times New Roman"/>
          <w:sz w:val="24"/>
          <w:szCs w:val="24"/>
          <w:lang w:val="en-US"/>
        </w:rPr>
        <w:t>velopment. Almaty, Galym. - 2017</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t>2. A.T. Ashimbaev Economic structure: the formation of patterns, trends and development priori</w:t>
      </w:r>
      <w:r>
        <w:rPr>
          <w:rFonts w:ascii="Times New Roman" w:eastAsia="Times New Roman" w:hAnsi="Times New Roman" w:cs="Times New Roman"/>
          <w:sz w:val="24"/>
          <w:szCs w:val="24"/>
          <w:lang w:val="en-US"/>
        </w:rPr>
        <w:t>ties. Almaty, Dyke - Press, 2016</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t xml:space="preserve">3. Bibatyrova I.A. Monopoly and Competition activities in the Republic of Kazakhstan. </w:t>
      </w:r>
      <w:proofErr w:type="gramStart"/>
      <w:r w:rsidRPr="00236E17">
        <w:rPr>
          <w:rFonts w:ascii="Times New Roman" w:eastAsia="Times New Roman" w:hAnsi="Times New Roman" w:cs="Times New Roman"/>
          <w:sz w:val="24"/>
          <w:szCs w:val="24"/>
          <w:lang w:val="en-US"/>
        </w:rPr>
        <w:t>A</w:t>
      </w:r>
      <w:r>
        <w:rPr>
          <w:rFonts w:ascii="Times New Roman" w:eastAsia="Times New Roman" w:hAnsi="Times New Roman" w:cs="Times New Roman"/>
          <w:sz w:val="24"/>
          <w:szCs w:val="24"/>
          <w:lang w:val="en-US"/>
        </w:rPr>
        <w:t>lmaty Kazak universities.</w:t>
      </w:r>
      <w:proofErr w:type="gramEnd"/>
      <w:r>
        <w:rPr>
          <w:rFonts w:ascii="Times New Roman" w:eastAsia="Times New Roman" w:hAnsi="Times New Roman" w:cs="Times New Roman"/>
          <w:sz w:val="24"/>
          <w:szCs w:val="24"/>
          <w:lang w:val="en-US"/>
        </w:rPr>
        <w:t xml:space="preserve"> - 2016</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t>4. State regulation of the market</w:t>
      </w:r>
      <w:r>
        <w:rPr>
          <w:rFonts w:ascii="Times New Roman" w:eastAsia="Times New Roman" w:hAnsi="Times New Roman" w:cs="Times New Roman"/>
          <w:sz w:val="24"/>
          <w:szCs w:val="24"/>
          <w:lang w:val="en-US"/>
        </w:rPr>
        <w:t xml:space="preserve"> economy. </w:t>
      </w:r>
      <w:proofErr w:type="gramStart"/>
      <w:r>
        <w:rPr>
          <w:rFonts w:ascii="Times New Roman" w:eastAsia="Times New Roman" w:hAnsi="Times New Roman" w:cs="Times New Roman"/>
          <w:sz w:val="24"/>
          <w:szCs w:val="24"/>
          <w:lang w:val="en-US"/>
        </w:rPr>
        <w:t>M .</w:t>
      </w:r>
      <w:proofErr w:type="gramEnd"/>
      <w:r>
        <w:rPr>
          <w:rFonts w:ascii="Times New Roman" w:eastAsia="Times New Roman" w:hAnsi="Times New Roman" w:cs="Times New Roman"/>
          <w:sz w:val="24"/>
          <w:szCs w:val="24"/>
          <w:lang w:val="en-US"/>
        </w:rPr>
        <w:t>: Economics. - 2017</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t xml:space="preserve">5. The state and business. </w:t>
      </w:r>
      <w:r>
        <w:rPr>
          <w:rFonts w:ascii="Times New Roman" w:eastAsia="Times New Roman" w:hAnsi="Times New Roman" w:cs="Times New Roman"/>
          <w:sz w:val="24"/>
          <w:szCs w:val="24"/>
          <w:lang w:val="en-US"/>
        </w:rPr>
        <w:t>Ed. Mamyrova N.K. - Almaty, 2017</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t xml:space="preserve">6. J. J. Stiglitz. Public Sector </w:t>
      </w:r>
      <w:proofErr w:type="gramStart"/>
      <w:r w:rsidRPr="00236E17">
        <w:rPr>
          <w:rFonts w:ascii="Times New Roman" w:eastAsia="Times New Roman" w:hAnsi="Times New Roman" w:cs="Times New Roman"/>
          <w:sz w:val="24"/>
          <w:szCs w:val="24"/>
          <w:lang w:val="en-US"/>
        </w:rPr>
        <w:t>Economics.M .</w:t>
      </w:r>
      <w:proofErr w:type="gramEnd"/>
      <w:r w:rsidRPr="00236E17">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lang w:val="en-US"/>
        </w:rPr>
        <w:t xml:space="preserve"> Moscow State University. - 2018</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t xml:space="preserve">7. Yelemesov R.E., Zhatkanbayev E.B. </w:t>
      </w:r>
      <w:proofErr w:type="gramStart"/>
      <w:r w:rsidRPr="00236E17">
        <w:rPr>
          <w:rFonts w:ascii="Times New Roman" w:eastAsia="Times New Roman" w:hAnsi="Times New Roman" w:cs="Times New Roman"/>
          <w:sz w:val="24"/>
          <w:szCs w:val="24"/>
          <w:lang w:val="en-US"/>
        </w:rPr>
        <w:t>The state and the market.</w:t>
      </w:r>
      <w:proofErr w:type="gramEnd"/>
      <w:r w:rsidRPr="00236E17">
        <w:rPr>
          <w:rFonts w:ascii="Times New Roman" w:eastAsia="Times New Roman" w:hAnsi="Times New Roman" w:cs="Times New Roman"/>
          <w:sz w:val="24"/>
          <w:szCs w:val="24"/>
          <w:lang w:val="en-US"/>
        </w:rPr>
        <w:t xml:space="preserve"> A</w:t>
      </w:r>
      <w:r>
        <w:rPr>
          <w:rFonts w:ascii="Times New Roman" w:eastAsia="Times New Roman" w:hAnsi="Times New Roman" w:cs="Times New Roman"/>
          <w:sz w:val="24"/>
          <w:szCs w:val="24"/>
          <w:lang w:val="en-US"/>
        </w:rPr>
        <w:t>lmaty: "Karja • karazhat". -2016</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t xml:space="preserve">8. Kazakhstan's model of market reforms: the socio economic and legal aspects. </w:t>
      </w:r>
      <w:proofErr w:type="gramStart"/>
      <w:r w:rsidRPr="00236E17">
        <w:rPr>
          <w:rFonts w:ascii="Times New Roman" w:eastAsia="Times New Roman" w:hAnsi="Times New Roman" w:cs="Times New Roman"/>
          <w:sz w:val="24"/>
          <w:szCs w:val="24"/>
          <w:lang w:val="en-US"/>
        </w:rPr>
        <w:t>AubakirovJA ,Bayzhumaev</w:t>
      </w:r>
      <w:proofErr w:type="gramEnd"/>
      <w:r w:rsidRPr="00236E17">
        <w:rPr>
          <w:rFonts w:ascii="Times New Roman" w:eastAsia="Times New Roman" w:hAnsi="Times New Roman" w:cs="Times New Roman"/>
          <w:sz w:val="24"/>
          <w:szCs w:val="24"/>
          <w:lang w:val="en-US"/>
        </w:rPr>
        <w:t xml:space="preserve"> V. Zhatk</w:t>
      </w:r>
      <w:r>
        <w:rPr>
          <w:rFonts w:ascii="Times New Roman" w:eastAsia="Times New Roman" w:hAnsi="Times New Roman" w:cs="Times New Roman"/>
          <w:sz w:val="24"/>
          <w:szCs w:val="24"/>
          <w:lang w:val="en-US"/>
        </w:rPr>
        <w:t>anbayev E.B. and others. A. 2016</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t xml:space="preserve">9. </w:t>
      </w:r>
      <w:proofErr w:type="gramStart"/>
      <w:r w:rsidRPr="00236E17">
        <w:rPr>
          <w:rFonts w:ascii="Times New Roman" w:eastAsia="Times New Roman" w:hAnsi="Times New Roman" w:cs="Times New Roman"/>
          <w:sz w:val="24"/>
          <w:szCs w:val="24"/>
          <w:lang w:val="en-US"/>
        </w:rPr>
        <w:t>To</w:t>
      </w:r>
      <w:proofErr w:type="gramEnd"/>
      <w:r w:rsidRPr="00236E17">
        <w:rPr>
          <w:rFonts w:ascii="Times New Roman" w:eastAsia="Times New Roman" w:hAnsi="Times New Roman" w:cs="Times New Roman"/>
          <w:sz w:val="24"/>
          <w:szCs w:val="24"/>
          <w:lang w:val="en-US"/>
        </w:rPr>
        <w:t xml:space="preserve"> the knowledge economy through innovation and education. Lecture by the President of the Republic of Kazakhstan NursultanNazarbayev, the Eurasian National University.  L.N. Gumilyov.  - Kazakhstanskaya Pravd</w:t>
      </w:r>
      <w:r>
        <w:rPr>
          <w:rFonts w:ascii="Times New Roman" w:eastAsia="Times New Roman" w:hAnsi="Times New Roman" w:cs="Times New Roman"/>
          <w:sz w:val="24"/>
          <w:szCs w:val="24"/>
          <w:lang w:val="en-US"/>
        </w:rPr>
        <w:t>a, 2016</w:t>
      </w:r>
      <w:r w:rsidRPr="00236E17">
        <w:rPr>
          <w:rFonts w:ascii="Times New Roman" w:eastAsia="Times New Roman" w:hAnsi="Times New Roman" w:cs="Times New Roman"/>
          <w:sz w:val="24"/>
          <w:szCs w:val="24"/>
          <w:lang w:val="en-US"/>
        </w:rPr>
        <w:t>, June.</w:t>
      </w:r>
      <w:r w:rsidRPr="00236E17">
        <w:rPr>
          <w:rFonts w:ascii="Times New Roman" w:eastAsia="Times New Roman" w:hAnsi="Times New Roman" w:cs="Times New Roman"/>
          <w:sz w:val="24"/>
          <w:szCs w:val="24"/>
          <w:lang w:val="en-US"/>
        </w:rPr>
        <w:br/>
        <w:t>10. Concept of Transition of Kazakhstan to sustainable development for 2007-2024</w:t>
      </w:r>
      <w:r>
        <w:rPr>
          <w:rFonts w:ascii="Times New Roman" w:eastAsia="Times New Roman" w:hAnsi="Times New Roman" w:cs="Times New Roman"/>
          <w:sz w:val="24"/>
          <w:szCs w:val="24"/>
          <w:lang w:val="en-US"/>
        </w:rPr>
        <w:t>. - Kazakhstanskaya Pravda, 2017</w:t>
      </w:r>
      <w:r w:rsidRPr="00236E17">
        <w:rPr>
          <w:rFonts w:ascii="Times New Roman" w:eastAsia="Times New Roman" w:hAnsi="Times New Roman" w:cs="Times New Roman"/>
          <w:sz w:val="24"/>
          <w:szCs w:val="24"/>
          <w:lang w:val="en-US"/>
        </w:rPr>
        <w:t>, November 18.</w:t>
      </w:r>
      <w:r w:rsidRPr="00236E17">
        <w:rPr>
          <w:rFonts w:ascii="Times New Roman" w:eastAsia="Times New Roman" w:hAnsi="Times New Roman" w:cs="Times New Roman"/>
          <w:sz w:val="24"/>
          <w:szCs w:val="24"/>
          <w:lang w:val="en-US"/>
        </w:rPr>
        <w:br/>
      </w:r>
      <w:proofErr w:type="gramStart"/>
      <w:r w:rsidRPr="00236E17">
        <w:rPr>
          <w:rFonts w:ascii="Times New Roman" w:eastAsia="Times New Roman" w:hAnsi="Times New Roman" w:cs="Times New Roman"/>
          <w:sz w:val="24"/>
          <w:szCs w:val="24"/>
          <w:lang w:val="en-US"/>
        </w:rPr>
        <w:t>11. A. Koshanov difficult ascent on t</w:t>
      </w:r>
      <w:r>
        <w:rPr>
          <w:rFonts w:ascii="Times New Roman" w:eastAsia="Times New Roman" w:hAnsi="Times New Roman" w:cs="Times New Roman"/>
          <w:sz w:val="24"/>
          <w:szCs w:val="24"/>
          <w:lang w:val="en-US"/>
        </w:rPr>
        <w:t>he way to market.</w:t>
      </w:r>
      <w:proofErr w:type="gramEnd"/>
      <w:r>
        <w:rPr>
          <w:rFonts w:ascii="Times New Roman" w:eastAsia="Times New Roman" w:hAnsi="Times New Roman" w:cs="Times New Roman"/>
          <w:sz w:val="24"/>
          <w:szCs w:val="24"/>
          <w:lang w:val="en-US"/>
        </w:rPr>
        <w:t xml:space="preserve"> - Astana, 2017</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r>
      <w:proofErr w:type="gramStart"/>
      <w:r w:rsidRPr="00236E17">
        <w:rPr>
          <w:rFonts w:ascii="Times New Roman" w:eastAsia="Times New Roman" w:hAnsi="Times New Roman" w:cs="Times New Roman"/>
          <w:sz w:val="24"/>
          <w:szCs w:val="24"/>
          <w:lang w:val="en-US"/>
        </w:rPr>
        <w:t>12. Mamyrov N.K. Ihdanov J. monetary - credit regulation of economy in the conditions of Kaz</w:t>
      </w:r>
      <w:r>
        <w:rPr>
          <w:rFonts w:ascii="Times New Roman" w:eastAsia="Times New Roman" w:hAnsi="Times New Roman" w:cs="Times New Roman"/>
          <w:sz w:val="24"/>
          <w:szCs w:val="24"/>
          <w:lang w:val="en-US"/>
        </w:rPr>
        <w:t>akhstan.</w:t>
      </w:r>
      <w:proofErr w:type="gramEnd"/>
      <w:r>
        <w:rPr>
          <w:rFonts w:ascii="Times New Roman" w:eastAsia="Times New Roman" w:hAnsi="Times New Roman" w:cs="Times New Roman"/>
          <w:sz w:val="24"/>
          <w:szCs w:val="24"/>
          <w:lang w:val="en-US"/>
        </w:rPr>
        <w:t xml:space="preserve"> Almaty, Economy. - 2017</w:t>
      </w:r>
      <w:r w:rsidRPr="00236E17">
        <w:rPr>
          <w:rFonts w:ascii="Times New Roman" w:eastAsia="Times New Roman" w:hAnsi="Times New Roman" w:cs="Times New Roman"/>
          <w:sz w:val="24"/>
          <w:szCs w:val="24"/>
          <w:lang w:val="en-US"/>
        </w:rPr>
        <w:t>.</w:t>
      </w:r>
      <w:r w:rsidRPr="00236E17">
        <w:rPr>
          <w:rFonts w:ascii="Times New Roman" w:eastAsia="Times New Roman" w:hAnsi="Times New Roman" w:cs="Times New Roman"/>
          <w:sz w:val="24"/>
          <w:szCs w:val="24"/>
          <w:lang w:val="en-US"/>
        </w:rPr>
        <w:br/>
        <w:t>13. Oreshin V.P. State regulation of na</w:t>
      </w:r>
      <w:r>
        <w:rPr>
          <w:rFonts w:ascii="Times New Roman" w:eastAsia="Times New Roman" w:hAnsi="Times New Roman" w:cs="Times New Roman"/>
          <w:sz w:val="24"/>
          <w:szCs w:val="24"/>
          <w:lang w:val="en-US"/>
        </w:rPr>
        <w:t>tional economy -M: Lawyer - 2016</w:t>
      </w:r>
      <w:proofErr w:type="gramStart"/>
      <w:r w:rsidRPr="00236E17">
        <w:rPr>
          <w:rFonts w:ascii="Times New Roman" w:eastAsia="Times New Roman" w:hAnsi="Times New Roman" w:cs="Times New Roman"/>
          <w:sz w:val="24"/>
          <w:szCs w:val="24"/>
          <w:lang w:val="en-US"/>
        </w:rPr>
        <w:t>..</w:t>
      </w:r>
      <w:proofErr w:type="gramEnd"/>
      <w:r w:rsidRPr="00236E17">
        <w:rPr>
          <w:rFonts w:ascii="Times New Roman" w:eastAsia="Times New Roman" w:hAnsi="Times New Roman" w:cs="Times New Roman"/>
          <w:sz w:val="24"/>
          <w:szCs w:val="24"/>
          <w:lang w:val="en-US"/>
        </w:rPr>
        <w:br/>
        <w:t xml:space="preserve">14. Address by the President to the people of Kazakhstan to join the Republic of Kazakhstan in the 50 most competitive countries of the </w:t>
      </w:r>
      <w:r>
        <w:rPr>
          <w:rFonts w:ascii="Times New Roman" w:eastAsia="Times New Roman" w:hAnsi="Times New Roman" w:cs="Times New Roman"/>
          <w:sz w:val="24"/>
          <w:szCs w:val="24"/>
          <w:lang w:val="en-US"/>
        </w:rPr>
        <w:t>world. - Kazakhstan Pravda, 2018</w:t>
      </w:r>
      <w:r w:rsidRPr="00236E17">
        <w:rPr>
          <w:rFonts w:ascii="Times New Roman" w:eastAsia="Times New Roman" w:hAnsi="Times New Roman" w:cs="Times New Roman"/>
          <w:sz w:val="24"/>
          <w:szCs w:val="24"/>
          <w:lang w:val="en-US"/>
        </w:rPr>
        <w:t>, February.</w:t>
      </w:r>
      <w:r w:rsidRPr="00236E17">
        <w:rPr>
          <w:rFonts w:ascii="Times New Roman" w:eastAsia="Times New Roman" w:hAnsi="Times New Roman" w:cs="Times New Roman"/>
          <w:sz w:val="24"/>
          <w:szCs w:val="24"/>
          <w:lang w:val="en-US"/>
        </w:rPr>
        <w:br/>
        <w:t xml:space="preserve">15. Reforming the economy of Kazakhstan: problems and solutions. </w:t>
      </w:r>
      <w:proofErr w:type="gramStart"/>
      <w:r w:rsidRPr="00236E17">
        <w:rPr>
          <w:rFonts w:ascii="Times New Roman" w:eastAsia="Times New Roman" w:hAnsi="Times New Roman" w:cs="Times New Roman"/>
          <w:sz w:val="24"/>
          <w:szCs w:val="24"/>
          <w:lang w:val="en-US"/>
        </w:rPr>
        <w:t>Ed. Kenzheguzina M.B. Almaty Galym.-</w:t>
      </w:r>
      <w:r w:rsidRPr="002370E0">
        <w:rPr>
          <w:rFonts w:ascii="Times New Roman" w:eastAsia="Times New Roman" w:hAnsi="Times New Roman" w:cs="Times New Roman"/>
          <w:sz w:val="24"/>
          <w:szCs w:val="24"/>
          <w:lang w:val="en-US"/>
        </w:rPr>
        <w:t>201</w:t>
      </w:r>
      <w:r>
        <w:rPr>
          <w:rFonts w:ascii="Times New Roman" w:eastAsia="Times New Roman" w:hAnsi="Times New Roman" w:cs="Times New Roman"/>
          <w:sz w:val="24"/>
          <w:szCs w:val="24"/>
          <w:lang w:val="en-US"/>
        </w:rPr>
        <w:t>7</w:t>
      </w:r>
      <w:r w:rsidRPr="002370E0">
        <w:rPr>
          <w:rFonts w:ascii="Times New Roman" w:eastAsia="Times New Roman" w:hAnsi="Times New Roman" w:cs="Times New Roman"/>
          <w:sz w:val="24"/>
          <w:szCs w:val="24"/>
          <w:lang w:val="en-US"/>
        </w:rPr>
        <w:t>.</w:t>
      </w:r>
      <w:proofErr w:type="gramEnd"/>
    </w:p>
    <w:p w:rsidR="00DF3344" w:rsidRPr="008B4EEF" w:rsidRDefault="00DF3344" w:rsidP="00DF3344">
      <w:pPr>
        <w:spacing w:after="0" w:line="240" w:lineRule="auto"/>
        <w:ind w:firstLine="709"/>
        <w:rPr>
          <w:rFonts w:ascii="Times New Roman" w:hAnsi="Times New Roman" w:cs="Times New Roman"/>
          <w:sz w:val="24"/>
          <w:szCs w:val="24"/>
          <w:lang w:val="en-US"/>
        </w:rPr>
      </w:pPr>
      <w:r w:rsidRPr="002370E0">
        <w:rPr>
          <w:rFonts w:ascii="Times New Roman" w:eastAsia="Times New Roman" w:hAnsi="Times New Roman" w:cs="Times New Roman"/>
          <w:sz w:val="24"/>
          <w:szCs w:val="24"/>
          <w:lang w:val="en-US"/>
        </w:rPr>
        <w:t>    </w:t>
      </w:r>
      <w:r w:rsidRPr="002370E0">
        <w:rPr>
          <w:rFonts w:ascii="Times New Roman" w:eastAsia="Times New Roman" w:hAnsi="Times New Roman" w:cs="Times New Roman"/>
          <w:sz w:val="24"/>
          <w:szCs w:val="24"/>
          <w:lang w:val="en-US"/>
        </w:rPr>
        <w:br/>
        <w:t>    </w:t>
      </w:r>
      <w:r w:rsidRPr="002370E0">
        <w:rPr>
          <w:rFonts w:ascii="Times New Roman" w:eastAsia="Times New Roman" w:hAnsi="Times New Roman" w:cs="Times New Roman"/>
          <w:sz w:val="24"/>
          <w:szCs w:val="24"/>
          <w:lang w:val="en-US"/>
        </w:rPr>
        <w:br/>
      </w:r>
      <w:r w:rsidRPr="002370E0">
        <w:rPr>
          <w:rFonts w:ascii="Times New Roman" w:eastAsia="Times New Roman" w:hAnsi="Times New Roman" w:cs="Times New Roman"/>
          <w:sz w:val="24"/>
          <w:szCs w:val="24"/>
          <w:lang w:val="en-US"/>
        </w:rPr>
        <w:br/>
        <w:t>    </w:t>
      </w:r>
      <w:r w:rsidRPr="002370E0">
        <w:rPr>
          <w:rFonts w:ascii="Times New Roman" w:eastAsia="Times New Roman" w:hAnsi="Times New Roman" w:cs="Times New Roman"/>
          <w:sz w:val="24"/>
          <w:szCs w:val="24"/>
          <w:lang w:val="en-US"/>
        </w:rPr>
        <w:br/>
        <w:t>    </w:t>
      </w:r>
      <w:r w:rsidRPr="002370E0">
        <w:rPr>
          <w:rFonts w:ascii="Times New Roman" w:eastAsia="Times New Roman" w:hAnsi="Times New Roman" w:cs="Times New Roman"/>
          <w:sz w:val="24"/>
          <w:szCs w:val="24"/>
          <w:lang w:val="en-US"/>
        </w:rPr>
        <w:br/>
      </w: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Pr="008B4EEF" w:rsidRDefault="007532A4" w:rsidP="00DF3344">
      <w:pPr>
        <w:spacing w:after="0" w:line="240" w:lineRule="auto"/>
        <w:ind w:firstLine="709"/>
        <w:rPr>
          <w:rFonts w:ascii="Times New Roman" w:hAnsi="Times New Roman" w:cs="Times New Roman"/>
          <w:sz w:val="24"/>
          <w:szCs w:val="24"/>
          <w:lang w:val="en-US"/>
        </w:rPr>
      </w:pPr>
    </w:p>
    <w:p w:rsidR="007532A4" w:rsidRDefault="007532A4" w:rsidP="007532A4">
      <w:pPr>
        <w:spacing w:after="0" w:line="240" w:lineRule="auto"/>
        <w:rPr>
          <w:rFonts w:ascii="Times New Roman" w:eastAsiaTheme="minorHAnsi" w:hAnsi="Times New Roman" w:cs="Times New Roman"/>
          <w:b/>
          <w:sz w:val="28"/>
          <w:szCs w:val="28"/>
          <w:lang w:val="en-US" w:eastAsia="en-US"/>
        </w:rPr>
      </w:pPr>
      <w:r>
        <w:rPr>
          <w:rFonts w:eastAsiaTheme="minorHAnsi"/>
          <w:b/>
          <w:sz w:val="28"/>
          <w:szCs w:val="28"/>
          <w:lang w:val="en-US" w:eastAsia="en-US"/>
        </w:rPr>
        <w:t xml:space="preserve">                                </w:t>
      </w:r>
      <w:r>
        <w:rPr>
          <w:rFonts w:ascii="Times New Roman" w:eastAsiaTheme="minorHAnsi" w:hAnsi="Times New Roman" w:cs="Times New Roman"/>
          <w:b/>
          <w:sz w:val="28"/>
          <w:szCs w:val="28"/>
          <w:lang w:val="en-US" w:eastAsia="en-US"/>
        </w:rPr>
        <w:t>Shoraev Bakhytzhan Alievich, Saparaliev Talgat</w:t>
      </w:r>
    </w:p>
    <w:p w:rsidR="008B4EEF" w:rsidRPr="008B4EEF" w:rsidRDefault="008B4EEF" w:rsidP="007532A4">
      <w:pPr>
        <w:spacing w:after="0" w:line="240" w:lineRule="auto"/>
        <w:rPr>
          <w:rFonts w:ascii="Times New Roman" w:eastAsiaTheme="minorHAnsi" w:hAnsi="Times New Roman" w:cs="Times New Roman"/>
          <w:b/>
          <w:sz w:val="28"/>
          <w:szCs w:val="28"/>
          <w:lang w:val="en-US" w:eastAsia="en-US"/>
        </w:rPr>
      </w:pPr>
      <w:r w:rsidRPr="008B4EEF">
        <w:rPr>
          <w:rFonts w:ascii="Times New Roman" w:eastAsiaTheme="minorHAnsi" w:hAnsi="Times New Roman" w:cs="Times New Roman"/>
          <w:b/>
          <w:sz w:val="28"/>
          <w:szCs w:val="28"/>
          <w:lang w:val="en-US" w:eastAsia="en-US"/>
        </w:rPr>
        <w:t xml:space="preserve">                    </w:t>
      </w:r>
    </w:p>
    <w:p w:rsidR="008B4EEF" w:rsidRPr="008B4EEF" w:rsidRDefault="008B4EEF" w:rsidP="007532A4">
      <w:pPr>
        <w:spacing w:after="0" w:line="240" w:lineRule="auto"/>
        <w:rPr>
          <w:rFonts w:ascii="Times New Roman" w:eastAsiaTheme="minorHAnsi" w:hAnsi="Times New Roman" w:cs="Times New Roman"/>
          <w:sz w:val="28"/>
          <w:szCs w:val="28"/>
          <w:lang w:val="en-US" w:eastAsia="en-US"/>
        </w:rPr>
      </w:pPr>
      <w:r w:rsidRPr="008B4EEF">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r w:rsidRPr="008B4EEF">
        <w:rPr>
          <w:rFonts w:ascii="Times New Roman" w:hAnsi="Times New Roman" w:cs="Times New Roman"/>
          <w:sz w:val="28"/>
          <w:szCs w:val="28"/>
          <w:lang w:val="en-US"/>
        </w:rPr>
        <w:t>Lectures for the subject «</w:t>
      </w:r>
      <w:proofErr w:type="gramStart"/>
      <w:r w:rsidRPr="008B4EEF">
        <w:rPr>
          <w:rFonts w:ascii="Times New Roman" w:hAnsi="Times New Roman" w:cs="Times New Roman"/>
          <w:sz w:val="28"/>
          <w:szCs w:val="28"/>
          <w:lang w:val="en-US"/>
        </w:rPr>
        <w:t>Finances  of</w:t>
      </w:r>
      <w:proofErr w:type="gramEnd"/>
      <w:r w:rsidRPr="008B4EEF">
        <w:rPr>
          <w:rFonts w:ascii="Times New Roman" w:hAnsi="Times New Roman" w:cs="Times New Roman"/>
          <w:sz w:val="28"/>
          <w:szCs w:val="28"/>
          <w:lang w:val="en-US"/>
        </w:rPr>
        <w:t xml:space="preserve"> foreign countries</w:t>
      </w:r>
      <w:r w:rsidRPr="008B4EEF">
        <w:rPr>
          <w:rFonts w:ascii="Times New Roman" w:eastAsiaTheme="minorHAnsi" w:hAnsi="Times New Roman" w:cs="Times New Roman"/>
          <w:sz w:val="28"/>
          <w:szCs w:val="28"/>
          <w:lang w:val="en-US" w:eastAsia="en-US"/>
        </w:rPr>
        <w:t>»</w:t>
      </w:r>
      <w:r w:rsidR="007532A4" w:rsidRPr="008B4EEF">
        <w:rPr>
          <w:rFonts w:ascii="Times New Roman" w:eastAsiaTheme="minorHAnsi" w:hAnsi="Times New Roman" w:cs="Times New Roman"/>
          <w:sz w:val="28"/>
          <w:szCs w:val="28"/>
          <w:lang w:val="en-US" w:eastAsia="en-US"/>
        </w:rPr>
        <w:t xml:space="preserve">                                   </w:t>
      </w:r>
    </w:p>
    <w:p w:rsidR="007532A4" w:rsidRDefault="008B4EEF" w:rsidP="007532A4">
      <w:pPr>
        <w:spacing w:after="0" w:line="240" w:lineRule="auto"/>
        <w:rPr>
          <w:rFonts w:ascii="Times New Roman" w:eastAsiaTheme="minorHAnsi" w:hAnsi="Times New Roman" w:cs="Times New Roman"/>
          <w:sz w:val="28"/>
          <w:szCs w:val="28"/>
          <w:lang w:val="en-US" w:eastAsia="en-US"/>
        </w:rPr>
      </w:pPr>
      <w:r w:rsidRPr="008B4EEF">
        <w:rPr>
          <w:rFonts w:ascii="Times New Roman" w:eastAsiaTheme="minorHAnsi" w:hAnsi="Times New Roman" w:cs="Times New Roman"/>
          <w:sz w:val="28"/>
          <w:szCs w:val="28"/>
          <w:lang w:val="en-US" w:eastAsia="en-US"/>
        </w:rPr>
        <w:t xml:space="preserve">                                      </w:t>
      </w:r>
      <w:proofErr w:type="gramStart"/>
      <w:r w:rsidR="007532A4">
        <w:rPr>
          <w:rFonts w:ascii="Times New Roman" w:eastAsiaTheme="minorHAnsi" w:hAnsi="Times New Roman" w:cs="Times New Roman"/>
          <w:sz w:val="28"/>
          <w:szCs w:val="28"/>
          <w:lang w:val="en-US" w:eastAsia="en-US"/>
        </w:rPr>
        <w:t>for</w:t>
      </w:r>
      <w:proofErr w:type="gramEnd"/>
      <w:r w:rsidR="007532A4">
        <w:rPr>
          <w:rFonts w:ascii="Times New Roman" w:eastAsiaTheme="minorHAnsi" w:hAnsi="Times New Roman" w:cs="Times New Roman"/>
          <w:sz w:val="28"/>
          <w:szCs w:val="28"/>
          <w:lang w:val="en-US" w:eastAsia="en-US"/>
        </w:rPr>
        <w:t xml:space="preserve"> students </w:t>
      </w:r>
      <w:r>
        <w:rPr>
          <w:rFonts w:ascii="Times New Roman" w:eastAsiaTheme="minorHAnsi" w:hAnsi="Times New Roman" w:cs="Times New Roman"/>
          <w:sz w:val="28"/>
          <w:szCs w:val="28"/>
          <w:lang w:val="en-US" w:eastAsia="en-US"/>
        </w:rPr>
        <w:t>of specialty  5B</w:t>
      </w:r>
      <w:r w:rsidR="007532A4">
        <w:rPr>
          <w:rFonts w:ascii="Times New Roman" w:eastAsiaTheme="minorHAnsi" w:hAnsi="Times New Roman" w:cs="Times New Roman"/>
          <w:sz w:val="28"/>
          <w:szCs w:val="28"/>
          <w:lang w:val="en-US" w:eastAsia="en-US"/>
        </w:rPr>
        <w:t>050509 - Finance</w:t>
      </w:r>
    </w:p>
    <w:p w:rsidR="007532A4" w:rsidRDefault="007532A4" w:rsidP="007532A4">
      <w:pPr>
        <w:spacing w:after="0" w:line="240" w:lineRule="auto"/>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en-US" w:eastAsia="en-US"/>
        </w:rPr>
        <w:t> </w:t>
      </w:r>
    </w:p>
    <w:p w:rsidR="007532A4" w:rsidRDefault="007532A4" w:rsidP="007532A4">
      <w:pPr>
        <w:spacing w:after="0" w:line="240" w:lineRule="auto"/>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en-US" w:eastAsia="en-US"/>
        </w:rPr>
        <w:t>                                                      Copy deadline</w:t>
      </w:r>
    </w:p>
    <w:p w:rsidR="007532A4" w:rsidRDefault="007532A4" w:rsidP="007532A4">
      <w:pPr>
        <w:spacing w:after="0" w:line="240" w:lineRule="auto"/>
        <w:rPr>
          <w:rFonts w:ascii="Times New Roman" w:eastAsiaTheme="minorHAnsi" w:hAnsi="Times New Roman" w:cs="Times New Roman"/>
          <w:sz w:val="28"/>
          <w:szCs w:val="28"/>
          <w:lang w:val="en-US" w:eastAsia="en-US"/>
        </w:rPr>
      </w:pPr>
    </w:p>
    <w:p w:rsidR="007532A4" w:rsidRDefault="007532A4" w:rsidP="007532A4">
      <w:pPr>
        <w:spacing w:after="0" w:line="240" w:lineRule="auto"/>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en-US" w:eastAsia="en-US"/>
        </w:rPr>
        <w:t>                                               Paper size X * Y   1/16</w:t>
      </w:r>
    </w:p>
    <w:p w:rsidR="007532A4" w:rsidRDefault="007532A4" w:rsidP="007532A4">
      <w:pPr>
        <w:spacing w:after="0" w:line="240" w:lineRule="auto"/>
        <w:rPr>
          <w:rFonts w:ascii="Times New Roman" w:eastAsiaTheme="minorHAnsi" w:hAnsi="Times New Roman" w:cs="Times New Roman"/>
          <w:sz w:val="28"/>
          <w:szCs w:val="28"/>
          <w:lang w:val="en-US" w:eastAsia="en-US"/>
        </w:rPr>
      </w:pPr>
    </w:p>
    <w:p w:rsidR="007532A4" w:rsidRDefault="007532A4" w:rsidP="007532A4">
      <w:pPr>
        <w:spacing w:after="0" w:line="240" w:lineRule="auto"/>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en-US" w:eastAsia="en-US"/>
        </w:rPr>
        <w:t xml:space="preserve">                       Paper printing.</w:t>
      </w:r>
      <w:r w:rsidR="003E0431">
        <w:rPr>
          <w:rFonts w:ascii="Times New Roman" w:eastAsiaTheme="minorHAnsi" w:hAnsi="Times New Roman" w:cs="Times New Roman"/>
          <w:sz w:val="28"/>
          <w:szCs w:val="28"/>
          <w:lang w:eastAsia="en-US"/>
        </w:rPr>
        <w:t xml:space="preserve"> </w:t>
      </w:r>
      <w:r>
        <w:rPr>
          <w:rFonts w:ascii="Times New Roman" w:eastAsiaTheme="minorHAnsi" w:hAnsi="Times New Roman" w:cs="Times New Roman"/>
          <w:sz w:val="28"/>
          <w:szCs w:val="28"/>
          <w:lang w:val="en-US" w:eastAsia="en-US"/>
        </w:rPr>
        <w:t xml:space="preserve">Offset </w:t>
      </w:r>
      <w:proofErr w:type="gramStart"/>
      <w:r>
        <w:rPr>
          <w:rFonts w:ascii="Times New Roman" w:eastAsiaTheme="minorHAnsi" w:hAnsi="Times New Roman" w:cs="Times New Roman"/>
          <w:sz w:val="28"/>
          <w:szCs w:val="28"/>
          <w:lang w:val="en-US" w:eastAsia="en-US"/>
        </w:rPr>
        <w:t>printing.Volume  of</w:t>
      </w:r>
      <w:proofErr w:type="gramEnd"/>
      <w:r>
        <w:rPr>
          <w:rFonts w:ascii="Times New Roman" w:eastAsiaTheme="minorHAnsi" w:hAnsi="Times New Roman" w:cs="Times New Roman"/>
          <w:sz w:val="28"/>
          <w:szCs w:val="28"/>
          <w:lang w:val="en-US" w:eastAsia="en-US"/>
        </w:rPr>
        <w:t xml:space="preserve">  2.06 pp</w:t>
      </w:r>
    </w:p>
    <w:p w:rsidR="007532A4" w:rsidRDefault="007532A4" w:rsidP="007532A4">
      <w:pPr>
        <w:spacing w:after="0" w:line="240" w:lineRule="auto"/>
        <w:rPr>
          <w:rFonts w:ascii="Times New Roman" w:eastAsiaTheme="minorHAnsi" w:hAnsi="Times New Roman" w:cs="Times New Roman"/>
          <w:sz w:val="28"/>
          <w:szCs w:val="28"/>
          <w:lang w:val="en-US" w:eastAsia="en-US"/>
        </w:rPr>
      </w:pPr>
    </w:p>
    <w:p w:rsidR="007532A4" w:rsidRDefault="007532A4" w:rsidP="007532A4">
      <w:pPr>
        <w:spacing w:after="0" w:line="240" w:lineRule="auto"/>
        <w:rPr>
          <w:rFonts w:ascii="Times New Roman" w:eastAsiaTheme="minorHAnsi" w:hAnsi="Times New Roman" w:cs="Times New Roman"/>
          <w:sz w:val="28"/>
          <w:szCs w:val="28"/>
          <w:lang w:val="en-US" w:eastAsia="en-US"/>
        </w:rPr>
      </w:pPr>
      <w:r w:rsidRPr="007532A4">
        <w:rPr>
          <w:rFonts w:ascii="Times New Roman" w:eastAsiaTheme="minorHAnsi" w:hAnsi="Times New Roman" w:cs="Times New Roman"/>
          <w:sz w:val="28"/>
          <w:szCs w:val="28"/>
          <w:lang w:val="en-US" w:eastAsia="en-US"/>
        </w:rPr>
        <w:t xml:space="preserve">                              </w:t>
      </w:r>
      <w:proofErr w:type="gramStart"/>
      <w:r>
        <w:rPr>
          <w:rFonts w:ascii="Times New Roman" w:eastAsiaTheme="minorHAnsi" w:hAnsi="Times New Roman" w:cs="Times New Roman"/>
          <w:sz w:val="28"/>
          <w:szCs w:val="28"/>
          <w:lang w:val="en-US" w:eastAsia="en-US"/>
        </w:rPr>
        <w:t>Circulation  of</w:t>
      </w:r>
      <w:proofErr w:type="gramEnd"/>
      <w:r>
        <w:rPr>
          <w:rFonts w:ascii="Times New Roman" w:eastAsiaTheme="minorHAnsi" w:hAnsi="Times New Roman" w:cs="Times New Roman"/>
          <w:sz w:val="28"/>
          <w:szCs w:val="28"/>
          <w:lang w:val="en-US" w:eastAsia="en-US"/>
        </w:rPr>
        <w:t xml:space="preserve">  50 copies. Order </w:t>
      </w:r>
      <w:proofErr w:type="gramStart"/>
      <w:r>
        <w:rPr>
          <w:rFonts w:ascii="Times New Roman" w:eastAsiaTheme="minorHAnsi" w:hAnsi="Times New Roman" w:cs="Times New Roman"/>
          <w:sz w:val="28"/>
          <w:szCs w:val="28"/>
          <w:lang w:val="en-US" w:eastAsia="en-US"/>
        </w:rPr>
        <w:t>number ....</w:t>
      </w:r>
      <w:proofErr w:type="gramEnd"/>
    </w:p>
    <w:p w:rsidR="007532A4" w:rsidRDefault="007532A4" w:rsidP="007532A4">
      <w:pPr>
        <w:rPr>
          <w:rFonts w:ascii="Times New Roman" w:eastAsiaTheme="minorHAnsi" w:hAnsi="Times New Roman" w:cs="Times New Roman"/>
          <w:sz w:val="28"/>
          <w:szCs w:val="28"/>
          <w:lang w:val="en-US" w:eastAsia="en-US"/>
        </w:rPr>
      </w:pPr>
    </w:p>
    <w:p w:rsidR="007532A4" w:rsidRDefault="008B4EEF" w:rsidP="007532A4">
      <w:pPr>
        <w:rPr>
          <w:rFonts w:ascii="Times New Roman" w:eastAsiaTheme="minorHAnsi" w:hAnsi="Times New Roman" w:cs="Times New Roman"/>
          <w:sz w:val="28"/>
          <w:szCs w:val="28"/>
          <w:lang w:val="en-US" w:eastAsia="en-US"/>
        </w:rPr>
      </w:pPr>
      <w:r w:rsidRPr="008B4EEF">
        <w:rPr>
          <w:rFonts w:ascii="Times New Roman" w:eastAsiaTheme="minorHAnsi" w:hAnsi="Times New Roman" w:cs="Times New Roman"/>
          <w:sz w:val="28"/>
          <w:szCs w:val="28"/>
          <w:lang w:val="en-US" w:eastAsia="en-US"/>
        </w:rPr>
        <w:t xml:space="preserve">    </w:t>
      </w:r>
      <w:r w:rsidR="007532A4">
        <w:rPr>
          <w:rFonts w:ascii="Times New Roman" w:eastAsiaTheme="minorHAnsi" w:hAnsi="Times New Roman" w:cs="Times New Roman"/>
          <w:sz w:val="28"/>
          <w:szCs w:val="28"/>
          <w:lang w:val="en-US" w:eastAsia="en-US"/>
        </w:rPr>
        <w:t>© Publication of South Kazakhstan State University      n.M.Auezova</w:t>
      </w:r>
    </w:p>
    <w:p w:rsidR="007532A4" w:rsidRDefault="008B4EEF" w:rsidP="007532A4">
      <w:pPr>
        <w:rPr>
          <w:rFonts w:ascii="Times New Roman" w:eastAsiaTheme="minorHAnsi" w:hAnsi="Times New Roman" w:cs="Times New Roman"/>
          <w:sz w:val="28"/>
          <w:szCs w:val="28"/>
          <w:lang w:val="en-US" w:eastAsia="en-US"/>
        </w:rPr>
      </w:pPr>
      <w:r w:rsidRPr="008B4EEF">
        <w:rPr>
          <w:rFonts w:ascii="Times New Roman" w:eastAsiaTheme="minorHAnsi" w:hAnsi="Times New Roman" w:cs="Times New Roman"/>
          <w:sz w:val="28"/>
          <w:szCs w:val="28"/>
          <w:lang w:val="en-US" w:eastAsia="en-US"/>
        </w:rPr>
        <w:t xml:space="preserve">      </w:t>
      </w:r>
      <w:proofErr w:type="gramStart"/>
      <w:r w:rsidR="007532A4">
        <w:rPr>
          <w:rFonts w:ascii="Times New Roman" w:eastAsiaTheme="minorHAnsi" w:hAnsi="Times New Roman" w:cs="Times New Roman"/>
          <w:sz w:val="28"/>
          <w:szCs w:val="28"/>
          <w:lang w:val="en-US" w:eastAsia="en-US"/>
        </w:rPr>
        <w:t>Publishing  Center</w:t>
      </w:r>
      <w:proofErr w:type="gramEnd"/>
      <w:r w:rsidR="007532A4">
        <w:rPr>
          <w:rFonts w:ascii="Times New Roman" w:eastAsiaTheme="minorHAnsi" w:hAnsi="Times New Roman" w:cs="Times New Roman"/>
          <w:sz w:val="28"/>
          <w:szCs w:val="28"/>
          <w:lang w:val="en-US" w:eastAsia="en-US"/>
        </w:rPr>
        <w:t xml:space="preserve">  SKSU   M.Auezov, Shymkent, pr.Tauke Khan, 5</w:t>
      </w:r>
    </w:p>
    <w:p w:rsidR="007532A4" w:rsidRPr="007532A4" w:rsidRDefault="007532A4" w:rsidP="00DF3344">
      <w:pPr>
        <w:spacing w:after="0" w:line="240" w:lineRule="auto"/>
        <w:ind w:firstLine="709"/>
        <w:rPr>
          <w:rFonts w:ascii="Times New Roman" w:hAnsi="Times New Roman" w:cs="Times New Roman"/>
          <w:sz w:val="24"/>
          <w:szCs w:val="24"/>
          <w:lang w:val="en-US"/>
        </w:rPr>
      </w:pPr>
    </w:p>
    <w:sectPr w:rsidR="007532A4" w:rsidRPr="007532A4" w:rsidSect="00143E4B">
      <w:pgSz w:w="12240" w:h="15840"/>
      <w:pgMar w:top="1134" w:right="851" w:bottom="1134" w:left="1701"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C2B5D"/>
    <w:multiLevelType w:val="hybridMultilevel"/>
    <w:tmpl w:val="5420A2F6"/>
    <w:lvl w:ilvl="0" w:tplc="9028C65C">
      <w:start w:val="2"/>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09D2606"/>
    <w:multiLevelType w:val="hybridMultilevel"/>
    <w:tmpl w:val="F88A4B7E"/>
    <w:lvl w:ilvl="0" w:tplc="574EA54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3169C1"/>
    <w:multiLevelType w:val="hybridMultilevel"/>
    <w:tmpl w:val="5EE2A08C"/>
    <w:lvl w:ilvl="0" w:tplc="2A5683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D593A6D"/>
    <w:multiLevelType w:val="hybridMultilevel"/>
    <w:tmpl w:val="05F6F7FE"/>
    <w:lvl w:ilvl="0" w:tplc="9808EDB6">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FDA601B"/>
    <w:multiLevelType w:val="hybridMultilevel"/>
    <w:tmpl w:val="DACA238C"/>
    <w:lvl w:ilvl="0" w:tplc="63EEF6C0">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5">
    <w:nsid w:val="1CAB14A7"/>
    <w:multiLevelType w:val="hybridMultilevel"/>
    <w:tmpl w:val="175C65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36E6C78"/>
    <w:multiLevelType w:val="multilevel"/>
    <w:tmpl w:val="F976E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ABE7046"/>
    <w:multiLevelType w:val="multilevel"/>
    <w:tmpl w:val="ACE436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0695F0B"/>
    <w:multiLevelType w:val="multilevel"/>
    <w:tmpl w:val="CAC68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5554195"/>
    <w:multiLevelType w:val="hybridMultilevel"/>
    <w:tmpl w:val="8A962E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9E96CA8"/>
    <w:multiLevelType w:val="multilevel"/>
    <w:tmpl w:val="5A88A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B5F750F"/>
    <w:multiLevelType w:val="hybridMultilevel"/>
    <w:tmpl w:val="1A84BAF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3BA74131"/>
    <w:multiLevelType w:val="hybridMultilevel"/>
    <w:tmpl w:val="78165D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2B72828"/>
    <w:multiLevelType w:val="hybridMultilevel"/>
    <w:tmpl w:val="E28E0B74"/>
    <w:lvl w:ilvl="0" w:tplc="E9B6A6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C731745"/>
    <w:multiLevelType w:val="hybridMultilevel"/>
    <w:tmpl w:val="BE901C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512E1AA2"/>
    <w:multiLevelType w:val="multilevel"/>
    <w:tmpl w:val="01602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1671332"/>
    <w:multiLevelType w:val="hybridMultilevel"/>
    <w:tmpl w:val="24E60D78"/>
    <w:lvl w:ilvl="0" w:tplc="2AF2DED4">
      <w:start w:val="3"/>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nsid w:val="524E5156"/>
    <w:multiLevelType w:val="hybridMultilevel"/>
    <w:tmpl w:val="2438D60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832499A"/>
    <w:multiLevelType w:val="multilevel"/>
    <w:tmpl w:val="B2C4B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CF61859"/>
    <w:multiLevelType w:val="multilevel"/>
    <w:tmpl w:val="8FBEF7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D827DFB"/>
    <w:multiLevelType w:val="hybridMultilevel"/>
    <w:tmpl w:val="C7C8F98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0D94160"/>
    <w:multiLevelType w:val="hybridMultilevel"/>
    <w:tmpl w:val="ED1CEC4E"/>
    <w:lvl w:ilvl="0" w:tplc="75EEC6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61FA1258"/>
    <w:multiLevelType w:val="hybridMultilevel"/>
    <w:tmpl w:val="B4604704"/>
    <w:lvl w:ilvl="0" w:tplc="E84C2CFE">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3B855ED"/>
    <w:multiLevelType w:val="hybridMultilevel"/>
    <w:tmpl w:val="372E40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63F862AD"/>
    <w:multiLevelType w:val="multilevel"/>
    <w:tmpl w:val="82266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93E3F7F"/>
    <w:multiLevelType w:val="hybridMultilevel"/>
    <w:tmpl w:val="6E94895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EBA23DB"/>
    <w:multiLevelType w:val="hybridMultilevel"/>
    <w:tmpl w:val="05BA2874"/>
    <w:lvl w:ilvl="0" w:tplc="53FEADFA">
      <w:start w:val="1"/>
      <w:numFmt w:val="decimal"/>
      <w:lvlText w:val="%1."/>
      <w:lvlJc w:val="left"/>
      <w:pPr>
        <w:ind w:left="1069" w:hanging="360"/>
      </w:pPr>
      <w:rPr>
        <w:rFonts w:cstheme="minorBid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6F7702D5"/>
    <w:multiLevelType w:val="hybridMultilevel"/>
    <w:tmpl w:val="9558EB8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nsid w:val="716044E0"/>
    <w:multiLevelType w:val="hybridMultilevel"/>
    <w:tmpl w:val="1AFCA6BA"/>
    <w:lvl w:ilvl="0" w:tplc="E05813C6">
      <w:start w:val="3"/>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730E28FF"/>
    <w:multiLevelType w:val="hybridMultilevel"/>
    <w:tmpl w:val="DE2E31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31C489B"/>
    <w:multiLevelType w:val="hybridMultilevel"/>
    <w:tmpl w:val="AA12FE60"/>
    <w:lvl w:ilvl="0" w:tplc="9BA0C11A">
      <w:start w:val="1"/>
      <w:numFmt w:val="decimal"/>
      <w:lvlText w:val="%1."/>
      <w:lvlJc w:val="left"/>
      <w:pPr>
        <w:ind w:left="3679" w:hanging="360"/>
      </w:pPr>
      <w:rPr>
        <w:rFonts w:hint="default"/>
      </w:rPr>
    </w:lvl>
    <w:lvl w:ilvl="1" w:tplc="04190019" w:tentative="1">
      <w:start w:val="1"/>
      <w:numFmt w:val="lowerLetter"/>
      <w:lvlText w:val="%2."/>
      <w:lvlJc w:val="left"/>
      <w:pPr>
        <w:ind w:left="4399" w:hanging="360"/>
      </w:pPr>
    </w:lvl>
    <w:lvl w:ilvl="2" w:tplc="0419001B" w:tentative="1">
      <w:start w:val="1"/>
      <w:numFmt w:val="lowerRoman"/>
      <w:lvlText w:val="%3."/>
      <w:lvlJc w:val="right"/>
      <w:pPr>
        <w:ind w:left="5119" w:hanging="180"/>
      </w:pPr>
    </w:lvl>
    <w:lvl w:ilvl="3" w:tplc="0419000F" w:tentative="1">
      <w:start w:val="1"/>
      <w:numFmt w:val="decimal"/>
      <w:lvlText w:val="%4."/>
      <w:lvlJc w:val="left"/>
      <w:pPr>
        <w:ind w:left="5839" w:hanging="360"/>
      </w:pPr>
    </w:lvl>
    <w:lvl w:ilvl="4" w:tplc="04190019" w:tentative="1">
      <w:start w:val="1"/>
      <w:numFmt w:val="lowerLetter"/>
      <w:lvlText w:val="%5."/>
      <w:lvlJc w:val="left"/>
      <w:pPr>
        <w:ind w:left="6559" w:hanging="360"/>
      </w:pPr>
    </w:lvl>
    <w:lvl w:ilvl="5" w:tplc="0419001B" w:tentative="1">
      <w:start w:val="1"/>
      <w:numFmt w:val="lowerRoman"/>
      <w:lvlText w:val="%6."/>
      <w:lvlJc w:val="right"/>
      <w:pPr>
        <w:ind w:left="7279" w:hanging="180"/>
      </w:pPr>
    </w:lvl>
    <w:lvl w:ilvl="6" w:tplc="0419000F" w:tentative="1">
      <w:start w:val="1"/>
      <w:numFmt w:val="decimal"/>
      <w:lvlText w:val="%7."/>
      <w:lvlJc w:val="left"/>
      <w:pPr>
        <w:ind w:left="7999" w:hanging="360"/>
      </w:pPr>
    </w:lvl>
    <w:lvl w:ilvl="7" w:tplc="04190019" w:tentative="1">
      <w:start w:val="1"/>
      <w:numFmt w:val="lowerLetter"/>
      <w:lvlText w:val="%8."/>
      <w:lvlJc w:val="left"/>
      <w:pPr>
        <w:ind w:left="8719" w:hanging="360"/>
      </w:pPr>
    </w:lvl>
    <w:lvl w:ilvl="8" w:tplc="0419001B" w:tentative="1">
      <w:start w:val="1"/>
      <w:numFmt w:val="lowerRoman"/>
      <w:lvlText w:val="%9."/>
      <w:lvlJc w:val="right"/>
      <w:pPr>
        <w:ind w:left="9439" w:hanging="180"/>
      </w:pPr>
    </w:lvl>
  </w:abstractNum>
  <w:abstractNum w:abstractNumId="31">
    <w:nsid w:val="734F6041"/>
    <w:multiLevelType w:val="hybridMultilevel"/>
    <w:tmpl w:val="9D30AB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3EB468B"/>
    <w:multiLevelType w:val="hybridMultilevel"/>
    <w:tmpl w:val="0D26CA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69D3A5E"/>
    <w:multiLevelType w:val="multilevel"/>
    <w:tmpl w:val="E3AA8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6F84E6F"/>
    <w:multiLevelType w:val="hybridMultilevel"/>
    <w:tmpl w:val="7D883E5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7B8D134D"/>
    <w:multiLevelType w:val="multilevel"/>
    <w:tmpl w:val="5EAA2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E584341"/>
    <w:multiLevelType w:val="multilevel"/>
    <w:tmpl w:val="8D184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6"/>
  </w:num>
  <w:num w:numId="2">
    <w:abstractNumId w:val="16"/>
  </w:num>
  <w:num w:numId="3">
    <w:abstractNumId w:val="14"/>
  </w:num>
  <w:num w:numId="4">
    <w:abstractNumId w:val="29"/>
  </w:num>
  <w:num w:numId="5">
    <w:abstractNumId w:val="32"/>
  </w:num>
  <w:num w:numId="6">
    <w:abstractNumId w:val="9"/>
  </w:num>
  <w:num w:numId="7">
    <w:abstractNumId w:val="0"/>
  </w:num>
  <w:num w:numId="8">
    <w:abstractNumId w:val="22"/>
  </w:num>
  <w:num w:numId="9">
    <w:abstractNumId w:val="23"/>
  </w:num>
  <w:num w:numId="10">
    <w:abstractNumId w:val="5"/>
  </w:num>
  <w:num w:numId="11">
    <w:abstractNumId w:val="30"/>
  </w:num>
  <w:num w:numId="12">
    <w:abstractNumId w:val="3"/>
  </w:num>
  <w:num w:numId="13">
    <w:abstractNumId w:val="25"/>
  </w:num>
  <w:num w:numId="14">
    <w:abstractNumId w:val="17"/>
  </w:num>
  <w:num w:numId="15">
    <w:abstractNumId w:val="1"/>
  </w:num>
  <w:num w:numId="16">
    <w:abstractNumId w:val="20"/>
  </w:num>
  <w:num w:numId="17">
    <w:abstractNumId w:val="13"/>
  </w:num>
  <w:num w:numId="18">
    <w:abstractNumId w:val="34"/>
  </w:num>
  <w:num w:numId="19">
    <w:abstractNumId w:val="11"/>
  </w:num>
  <w:num w:numId="20">
    <w:abstractNumId w:val="6"/>
  </w:num>
  <w:num w:numId="21">
    <w:abstractNumId w:val="4"/>
  </w:num>
  <w:num w:numId="22">
    <w:abstractNumId w:val="12"/>
  </w:num>
  <w:num w:numId="23">
    <w:abstractNumId w:val="27"/>
  </w:num>
  <w:num w:numId="24">
    <w:abstractNumId w:val="33"/>
  </w:num>
  <w:num w:numId="25">
    <w:abstractNumId w:val="21"/>
  </w:num>
  <w:num w:numId="26">
    <w:abstractNumId w:val="24"/>
  </w:num>
  <w:num w:numId="27">
    <w:abstractNumId w:val="8"/>
  </w:num>
  <w:num w:numId="28">
    <w:abstractNumId w:val="15"/>
  </w:num>
  <w:num w:numId="29">
    <w:abstractNumId w:val="18"/>
  </w:num>
  <w:num w:numId="30">
    <w:abstractNumId w:val="10"/>
  </w:num>
  <w:num w:numId="31">
    <w:abstractNumId w:val="35"/>
  </w:num>
  <w:num w:numId="32">
    <w:abstractNumId w:val="19"/>
  </w:num>
  <w:num w:numId="33">
    <w:abstractNumId w:val="36"/>
  </w:num>
  <w:num w:numId="34">
    <w:abstractNumId w:val="31"/>
  </w:num>
  <w:num w:numId="35">
    <w:abstractNumId w:val="28"/>
  </w:num>
  <w:num w:numId="36">
    <w:abstractNumId w:val="2"/>
  </w:num>
  <w:num w:numId="37">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grammar="clean"/>
  <w:defaultTabStop w:val="708"/>
  <w:characterSpacingControl w:val="doNotCompress"/>
  <w:compat>
    <w:useFELayout/>
  </w:compat>
  <w:rsids>
    <w:rsidRoot w:val="003414F0"/>
    <w:rsid w:val="00004B32"/>
    <w:rsid w:val="000053F8"/>
    <w:rsid w:val="000A0C98"/>
    <w:rsid w:val="000F4488"/>
    <w:rsid w:val="00143E4B"/>
    <w:rsid w:val="00291996"/>
    <w:rsid w:val="003178AA"/>
    <w:rsid w:val="003414F0"/>
    <w:rsid w:val="00356A7E"/>
    <w:rsid w:val="003E0431"/>
    <w:rsid w:val="0042592C"/>
    <w:rsid w:val="00472A60"/>
    <w:rsid w:val="004B522F"/>
    <w:rsid w:val="006252F3"/>
    <w:rsid w:val="007462B4"/>
    <w:rsid w:val="007532A4"/>
    <w:rsid w:val="00851415"/>
    <w:rsid w:val="008B4EEF"/>
    <w:rsid w:val="009639D6"/>
    <w:rsid w:val="009703F5"/>
    <w:rsid w:val="009C658F"/>
    <w:rsid w:val="00A7266F"/>
    <w:rsid w:val="00A73424"/>
    <w:rsid w:val="00AA3725"/>
    <w:rsid w:val="00BC3A21"/>
    <w:rsid w:val="00DF3344"/>
    <w:rsid w:val="00E95A9D"/>
    <w:rsid w:val="00EE0718"/>
    <w:rsid w:val="00F4660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39D6"/>
  </w:style>
  <w:style w:type="paragraph" w:styleId="1">
    <w:name w:val="heading 1"/>
    <w:basedOn w:val="a"/>
    <w:next w:val="a"/>
    <w:link w:val="10"/>
    <w:uiPriority w:val="9"/>
    <w:qFormat/>
    <w:rsid w:val="00472A60"/>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472A6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472A60"/>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472A60"/>
    <w:pPr>
      <w:keepNext/>
      <w:keepLines/>
      <w:spacing w:before="200" w:after="0" w:line="240" w:lineRule="auto"/>
      <w:outlineLvl w:val="4"/>
    </w:pPr>
    <w:rPr>
      <w:rFonts w:asciiTheme="majorHAnsi" w:eastAsiaTheme="majorEastAsia" w:hAnsiTheme="majorHAnsi" w:cstheme="majorBidi"/>
      <w:color w:val="243F60" w:themeColor="accent1" w:themeShade="7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72A6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472A60"/>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semiHidden/>
    <w:rsid w:val="00472A60"/>
    <w:rPr>
      <w:rFonts w:asciiTheme="majorHAnsi" w:eastAsiaTheme="majorEastAsia" w:hAnsiTheme="majorHAnsi" w:cstheme="majorBidi"/>
      <w:b/>
      <w:bCs/>
      <w:color w:val="4F81BD" w:themeColor="accent1"/>
    </w:rPr>
  </w:style>
  <w:style w:type="character" w:customStyle="1" w:styleId="50">
    <w:name w:val="Заголовок 5 Знак"/>
    <w:basedOn w:val="a0"/>
    <w:link w:val="5"/>
    <w:uiPriority w:val="9"/>
    <w:semiHidden/>
    <w:rsid w:val="00472A60"/>
    <w:rPr>
      <w:rFonts w:asciiTheme="majorHAnsi" w:eastAsiaTheme="majorEastAsia" w:hAnsiTheme="majorHAnsi" w:cstheme="majorBidi"/>
      <w:color w:val="243F60" w:themeColor="accent1" w:themeShade="7F"/>
      <w:sz w:val="20"/>
      <w:szCs w:val="20"/>
    </w:rPr>
  </w:style>
  <w:style w:type="character" w:styleId="a3">
    <w:name w:val="Strong"/>
    <w:basedOn w:val="a0"/>
    <w:uiPriority w:val="22"/>
    <w:qFormat/>
    <w:rsid w:val="00472A60"/>
    <w:rPr>
      <w:b/>
      <w:bCs/>
    </w:rPr>
  </w:style>
  <w:style w:type="paragraph" w:styleId="a4">
    <w:name w:val="List Paragraph"/>
    <w:basedOn w:val="a"/>
    <w:uiPriority w:val="34"/>
    <w:qFormat/>
    <w:rsid w:val="00472A60"/>
    <w:pPr>
      <w:ind w:left="720"/>
      <w:contextualSpacing/>
    </w:pPr>
  </w:style>
  <w:style w:type="character" w:customStyle="1" w:styleId="hps">
    <w:name w:val="hps"/>
    <w:basedOn w:val="a0"/>
    <w:rsid w:val="00472A60"/>
  </w:style>
  <w:style w:type="character" w:customStyle="1" w:styleId="apple-converted-space">
    <w:name w:val="apple-converted-space"/>
    <w:basedOn w:val="a0"/>
    <w:rsid w:val="00472A60"/>
  </w:style>
  <w:style w:type="character" w:styleId="a5">
    <w:name w:val="Hyperlink"/>
    <w:basedOn w:val="a0"/>
    <w:uiPriority w:val="99"/>
    <w:semiHidden/>
    <w:unhideWhenUsed/>
    <w:rsid w:val="00472A60"/>
    <w:rPr>
      <w:color w:val="0000FF"/>
      <w:u w:val="single"/>
    </w:rPr>
  </w:style>
  <w:style w:type="paragraph" w:styleId="a6">
    <w:name w:val="Normal (Web)"/>
    <w:basedOn w:val="a"/>
    <w:uiPriority w:val="99"/>
    <w:unhideWhenUsed/>
    <w:rsid w:val="00472A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a0"/>
    <w:rsid w:val="00472A60"/>
  </w:style>
  <w:style w:type="paragraph" w:customStyle="1" w:styleId="interactive-chart--image">
    <w:name w:val="interactive-chart--image"/>
    <w:basedOn w:val="a"/>
    <w:rsid w:val="00472A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hare">
    <w:name w:val="share"/>
    <w:basedOn w:val="a"/>
    <w:rsid w:val="00472A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editsection">
    <w:name w:val="mw-editsection"/>
    <w:basedOn w:val="a0"/>
    <w:rsid w:val="00472A60"/>
  </w:style>
  <w:style w:type="character" w:customStyle="1" w:styleId="mw-editsection-bracket">
    <w:name w:val="mw-editsection-bracket"/>
    <w:basedOn w:val="a0"/>
    <w:rsid w:val="00472A60"/>
  </w:style>
  <w:style w:type="character" w:styleId="a7">
    <w:name w:val="Emphasis"/>
    <w:basedOn w:val="a0"/>
    <w:uiPriority w:val="20"/>
    <w:qFormat/>
    <w:rsid w:val="00472A60"/>
    <w:rPr>
      <w:i/>
      <w:iCs/>
    </w:rPr>
  </w:style>
  <w:style w:type="table" w:styleId="a8">
    <w:name w:val="Table Grid"/>
    <w:basedOn w:val="a1"/>
    <w:uiPriority w:val="59"/>
    <w:rsid w:val="00472A60"/>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ody Text"/>
    <w:basedOn w:val="a"/>
    <w:link w:val="aa"/>
    <w:rsid w:val="00472A60"/>
    <w:pPr>
      <w:spacing w:after="0" w:line="240" w:lineRule="auto"/>
    </w:pPr>
    <w:rPr>
      <w:rFonts w:ascii="Times New Roman" w:eastAsia="Times New Roman" w:hAnsi="Times New Roman" w:cs="Times New Roman"/>
      <w:sz w:val="24"/>
      <w:szCs w:val="20"/>
    </w:rPr>
  </w:style>
  <w:style w:type="character" w:customStyle="1" w:styleId="aa">
    <w:name w:val="Основной текст Знак"/>
    <w:basedOn w:val="a0"/>
    <w:link w:val="a9"/>
    <w:rsid w:val="00472A60"/>
    <w:rPr>
      <w:rFonts w:ascii="Times New Roman" w:eastAsia="Times New Roman" w:hAnsi="Times New Roman" w:cs="Times New Roman"/>
      <w:sz w:val="24"/>
      <w:szCs w:val="20"/>
    </w:rPr>
  </w:style>
  <w:style w:type="paragraph" w:styleId="ab">
    <w:name w:val="Balloon Text"/>
    <w:basedOn w:val="a"/>
    <w:link w:val="ac"/>
    <w:uiPriority w:val="99"/>
    <w:semiHidden/>
    <w:unhideWhenUsed/>
    <w:rsid w:val="00472A60"/>
    <w:pPr>
      <w:spacing w:after="0" w:line="240" w:lineRule="auto"/>
    </w:pPr>
    <w:rPr>
      <w:rFonts w:ascii="Tahoma" w:eastAsia="Times New Roman" w:hAnsi="Tahoma" w:cs="Tahoma"/>
      <w:sz w:val="16"/>
      <w:szCs w:val="16"/>
    </w:rPr>
  </w:style>
  <w:style w:type="character" w:customStyle="1" w:styleId="ac">
    <w:name w:val="Текст выноски Знак"/>
    <w:basedOn w:val="a0"/>
    <w:link w:val="ab"/>
    <w:uiPriority w:val="99"/>
    <w:semiHidden/>
    <w:rsid w:val="00472A60"/>
    <w:rPr>
      <w:rFonts w:ascii="Tahoma" w:eastAsia="Times New Roman" w:hAnsi="Tahoma" w:cs="Tahoma"/>
      <w:sz w:val="16"/>
      <w:szCs w:val="16"/>
    </w:rPr>
  </w:style>
  <w:style w:type="paragraph" w:customStyle="1" w:styleId="picsource">
    <w:name w:val="picsource"/>
    <w:basedOn w:val="a"/>
    <w:rsid w:val="00472A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bsec">
    <w:name w:val="subsec"/>
    <w:basedOn w:val="a"/>
    <w:rsid w:val="00472A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iccaption">
    <w:name w:val="piccaption"/>
    <w:basedOn w:val="a"/>
    <w:rsid w:val="00472A60"/>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FollowedHyperlink"/>
    <w:basedOn w:val="a0"/>
    <w:uiPriority w:val="99"/>
    <w:semiHidden/>
    <w:unhideWhenUsed/>
    <w:rsid w:val="00DF3344"/>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783421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n.wikipedia.org/wiki/Inheritance_tax" TargetMode="External"/><Relationship Id="rId117" Type="http://schemas.openxmlformats.org/officeDocument/2006/relationships/hyperlink" Target="http://www.tradingeconomics.com/russia/sales-tax-rate" TargetMode="External"/><Relationship Id="rId21" Type="http://schemas.openxmlformats.org/officeDocument/2006/relationships/hyperlink" Target="https://en.wikipedia.org/wiki/Income_tax_in_the_United_States" TargetMode="External"/><Relationship Id="rId42" Type="http://schemas.openxmlformats.org/officeDocument/2006/relationships/hyperlink" Target="https://en.wikipedia.org/wiki/Social_security" TargetMode="External"/><Relationship Id="rId47" Type="http://schemas.openxmlformats.org/officeDocument/2006/relationships/hyperlink" Target="https://en.wikipedia.org/wiki/Special_Economic_Zone" TargetMode="External"/><Relationship Id="rId63" Type="http://schemas.openxmlformats.org/officeDocument/2006/relationships/hyperlink" Target="http://www.tradingeconomics.com/russia/government-budget" TargetMode="External"/><Relationship Id="rId68" Type="http://schemas.openxmlformats.org/officeDocument/2006/relationships/hyperlink" Target="http://www.tradingeconomics.com/russia/government-spending" TargetMode="External"/><Relationship Id="rId84" Type="http://schemas.openxmlformats.org/officeDocument/2006/relationships/image" Target="media/image18.png"/><Relationship Id="rId89" Type="http://schemas.openxmlformats.org/officeDocument/2006/relationships/hyperlink" Target="http://www.factosphere.com/pubfinance/budget/sources" TargetMode="External"/><Relationship Id="rId112" Type="http://schemas.openxmlformats.org/officeDocument/2006/relationships/image" Target="media/image21.png"/><Relationship Id="rId133" Type="http://schemas.openxmlformats.org/officeDocument/2006/relationships/fontTable" Target="fontTable.xml"/><Relationship Id="rId16" Type="http://schemas.openxmlformats.org/officeDocument/2006/relationships/hyperlink" Target="http://www.focus-economics.com/country-indicator/united-states/public-debt" TargetMode="External"/><Relationship Id="rId107" Type="http://schemas.openxmlformats.org/officeDocument/2006/relationships/hyperlink" Target="https://en.wikipedia.org/wiki/Taxation_in_Russia" TargetMode="External"/><Relationship Id="rId11" Type="http://schemas.openxmlformats.org/officeDocument/2006/relationships/hyperlink" Target="http://www.focus-economics.com/country-indicator/united-states/gdp-usd-bn" TargetMode="External"/><Relationship Id="rId32" Type="http://schemas.openxmlformats.org/officeDocument/2006/relationships/hyperlink" Target="https://en.wikipedia.org/wiki/Payroll_tax" TargetMode="External"/><Relationship Id="rId37" Type="http://schemas.openxmlformats.org/officeDocument/2006/relationships/hyperlink" Target="https://en.wikipedia.org/wiki/Payroll_tax" TargetMode="External"/><Relationship Id="rId53" Type="http://schemas.openxmlformats.org/officeDocument/2006/relationships/hyperlink" Target="https://en.wikipedia.org/wiki/Russian_language" TargetMode="External"/><Relationship Id="rId58" Type="http://schemas.openxmlformats.org/officeDocument/2006/relationships/hyperlink" Target="https://en.wikipedia.org/wiki/Federal_budget_of_Russia" TargetMode="External"/><Relationship Id="rId74" Type="http://schemas.openxmlformats.org/officeDocument/2006/relationships/hyperlink" Target="http://www.tradingeconomics.com/russia/fiscal-expenditure" TargetMode="External"/><Relationship Id="rId79" Type="http://schemas.openxmlformats.org/officeDocument/2006/relationships/image" Target="media/image13.png"/><Relationship Id="rId102" Type="http://schemas.openxmlformats.org/officeDocument/2006/relationships/hyperlink" Target="https://en.wikipedia.org/wiki/Tax_haven" TargetMode="External"/><Relationship Id="rId123" Type="http://schemas.openxmlformats.org/officeDocument/2006/relationships/image" Target="media/image22.png"/><Relationship Id="rId128" Type="http://schemas.openxmlformats.org/officeDocument/2006/relationships/image" Target="media/image27.png"/><Relationship Id="rId5" Type="http://schemas.openxmlformats.org/officeDocument/2006/relationships/image" Target="media/image1.png"/><Relationship Id="rId90" Type="http://schemas.openxmlformats.org/officeDocument/2006/relationships/image" Target="media/image20.png"/><Relationship Id="rId95" Type="http://schemas.openxmlformats.org/officeDocument/2006/relationships/hyperlink" Target="https://en.wikipedia.org/wiki/Category:Potassium_minerals" TargetMode="External"/><Relationship Id="rId14" Type="http://schemas.openxmlformats.org/officeDocument/2006/relationships/hyperlink" Target="http://www.focus-economics.com/country-indicator/united-states/unemployment" TargetMode="External"/><Relationship Id="rId22" Type="http://schemas.openxmlformats.org/officeDocument/2006/relationships/hyperlink" Target="https://en.wikipedia.org/wiki/Corporate_tax_in_the_United_States" TargetMode="External"/><Relationship Id="rId27" Type="http://schemas.openxmlformats.org/officeDocument/2006/relationships/hyperlink" Target="https://en.wikipedia.org/wiki/Gift_tax" TargetMode="External"/><Relationship Id="rId30" Type="http://schemas.openxmlformats.org/officeDocument/2006/relationships/image" Target="media/image6.png"/><Relationship Id="rId35" Type="http://schemas.openxmlformats.org/officeDocument/2006/relationships/hyperlink" Target="https://en.wikipedia.org/w/index.php?title=Budget_of_France&amp;action=edit&amp;section=1" TargetMode="External"/><Relationship Id="rId43" Type="http://schemas.openxmlformats.org/officeDocument/2006/relationships/hyperlink" Target="https://en.wikipedia.org/wiki/Monetary_policy" TargetMode="External"/><Relationship Id="rId48" Type="http://schemas.openxmlformats.org/officeDocument/2006/relationships/image" Target="media/image7.png"/><Relationship Id="rId56" Type="http://schemas.openxmlformats.org/officeDocument/2006/relationships/hyperlink" Target="https://en.wikipedia.org/wiki/Sign_into_law" TargetMode="External"/><Relationship Id="rId64" Type="http://schemas.openxmlformats.org/officeDocument/2006/relationships/hyperlink" Target="http://www.tradingeconomics.com/russia/government-budget" TargetMode="External"/><Relationship Id="rId69" Type="http://schemas.openxmlformats.org/officeDocument/2006/relationships/hyperlink" Target="http://www.tradingeconomics.com/russia/government-revenues" TargetMode="External"/><Relationship Id="rId77" Type="http://schemas.openxmlformats.org/officeDocument/2006/relationships/hyperlink" Target="http://www.tradingeconomics.com/russia/rating" TargetMode="External"/><Relationship Id="rId100" Type="http://schemas.openxmlformats.org/officeDocument/2006/relationships/hyperlink" Target="https://en.wikipedia.org/wiki/Dividend" TargetMode="External"/><Relationship Id="rId105" Type="http://schemas.openxmlformats.org/officeDocument/2006/relationships/hyperlink" Target="https://en.wikipedia.org/wiki/Taxation_in_Russia" TargetMode="External"/><Relationship Id="rId113" Type="http://schemas.openxmlformats.org/officeDocument/2006/relationships/hyperlink" Target="http://www.tradingeconomics.com/russia/corporate-tax-rate" TargetMode="External"/><Relationship Id="rId118" Type="http://schemas.openxmlformats.org/officeDocument/2006/relationships/hyperlink" Target="http://www.tradingeconomics.com/russia/sales-tax-rate" TargetMode="External"/><Relationship Id="rId126" Type="http://schemas.openxmlformats.org/officeDocument/2006/relationships/image" Target="media/image25.png"/><Relationship Id="rId134"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10.png"/><Relationship Id="rId72" Type="http://schemas.openxmlformats.org/officeDocument/2006/relationships/hyperlink" Target="http://www.tradingeconomics.com/russia/government-debt" TargetMode="External"/><Relationship Id="rId80" Type="http://schemas.openxmlformats.org/officeDocument/2006/relationships/image" Target="media/image14.png"/><Relationship Id="rId85" Type="http://schemas.openxmlformats.org/officeDocument/2006/relationships/hyperlink" Target="http://www.factosphere.com/pubfinance/budget/sources" TargetMode="External"/><Relationship Id="rId93" Type="http://schemas.openxmlformats.org/officeDocument/2006/relationships/hyperlink" Target="https://en.wikipedia.org/wiki/Irkutsk_Oblast" TargetMode="External"/><Relationship Id="rId98" Type="http://schemas.openxmlformats.org/officeDocument/2006/relationships/hyperlink" Target="https://en.wikipedia.org/wiki/Timber_rafting" TargetMode="External"/><Relationship Id="rId121" Type="http://schemas.openxmlformats.org/officeDocument/2006/relationships/hyperlink" Target="http://www.tradingeconomics.com/russia/social-security-rate-for-companies" TargetMode="External"/><Relationship Id="rId3" Type="http://schemas.openxmlformats.org/officeDocument/2006/relationships/settings" Target="settings.xml"/><Relationship Id="rId12" Type="http://schemas.openxmlformats.org/officeDocument/2006/relationships/hyperlink" Target="http://www.focus-economics.com/country-indicator/united-states/consumption" TargetMode="External"/><Relationship Id="rId17" Type="http://schemas.openxmlformats.org/officeDocument/2006/relationships/hyperlink" Target="http://www.focus-economics.com/country-indicator/united-states/money" TargetMode="External"/><Relationship Id="rId25" Type="http://schemas.openxmlformats.org/officeDocument/2006/relationships/hyperlink" Target="https://en.wikipedia.org/wiki/Duty_(economics)" TargetMode="External"/><Relationship Id="rId33" Type="http://schemas.openxmlformats.org/officeDocument/2006/relationships/hyperlink" Target="https://en.wikipedia.org/wiki/Property_tax" TargetMode="External"/><Relationship Id="rId38" Type="http://schemas.openxmlformats.org/officeDocument/2006/relationships/hyperlink" Target="https://en.wikipedia.org/wiki/Property_tax" TargetMode="External"/><Relationship Id="rId46" Type="http://schemas.openxmlformats.org/officeDocument/2006/relationships/hyperlink" Target="https://en.wikipedia.org/wiki/Corporate_governance" TargetMode="External"/><Relationship Id="rId59" Type="http://schemas.openxmlformats.org/officeDocument/2006/relationships/hyperlink" Target="https://en.wikipedia.org/w/index.php?title=Conciliation_commission&amp;action=edit&amp;redlink=1" TargetMode="External"/><Relationship Id="rId67" Type="http://schemas.openxmlformats.org/officeDocument/2006/relationships/hyperlink" Target="http://www.tradingeconomics.com/russia/government-spending" TargetMode="External"/><Relationship Id="rId103" Type="http://schemas.openxmlformats.org/officeDocument/2006/relationships/hyperlink" Target="https://en.wikipedia.org/wiki/Taxation_in_Russia" TargetMode="External"/><Relationship Id="rId108" Type="http://schemas.openxmlformats.org/officeDocument/2006/relationships/hyperlink" Target="https://en.wikipedia.org/wiki/Moscow" TargetMode="External"/><Relationship Id="rId116" Type="http://schemas.openxmlformats.org/officeDocument/2006/relationships/hyperlink" Target="http://www.tradingeconomics.com/russia/personal-income-tax-rate" TargetMode="External"/><Relationship Id="rId124" Type="http://schemas.openxmlformats.org/officeDocument/2006/relationships/image" Target="media/image23.png"/><Relationship Id="rId129" Type="http://schemas.openxmlformats.org/officeDocument/2006/relationships/image" Target="media/image28.png"/><Relationship Id="rId20" Type="http://schemas.openxmlformats.org/officeDocument/2006/relationships/hyperlink" Target="http://www.focus-economics.com/country-indicator/united-states/trade-balance" TargetMode="External"/><Relationship Id="rId41" Type="http://schemas.openxmlformats.org/officeDocument/2006/relationships/hyperlink" Target="https://en.wikipedia.org/wiki/Economic_development" TargetMode="External"/><Relationship Id="rId54" Type="http://schemas.openxmlformats.org/officeDocument/2006/relationships/hyperlink" Target="https://en.wikipedia.org/w/index.php?title=Budget_system_of_Russia&amp;action=edit&amp;redlink=1" TargetMode="External"/><Relationship Id="rId62" Type="http://schemas.openxmlformats.org/officeDocument/2006/relationships/hyperlink" Target="http://www.tradingeconomics.com/russia/government-debt-to-gdp" TargetMode="External"/><Relationship Id="rId70" Type="http://schemas.openxmlformats.org/officeDocument/2006/relationships/hyperlink" Target="http://www.tradingeconomics.com/russia/government-revenues" TargetMode="External"/><Relationship Id="rId75" Type="http://schemas.openxmlformats.org/officeDocument/2006/relationships/hyperlink" Target="http://www.tradingeconomics.com/russia/military-expenditure" TargetMode="External"/><Relationship Id="rId83" Type="http://schemas.openxmlformats.org/officeDocument/2006/relationships/image" Target="media/image17.png"/><Relationship Id="rId88" Type="http://schemas.openxmlformats.org/officeDocument/2006/relationships/hyperlink" Target="http://www.factosphere.com/pubfinance/budget/sources" TargetMode="External"/><Relationship Id="rId91" Type="http://schemas.openxmlformats.org/officeDocument/2006/relationships/hyperlink" Target="https://en.wikipedia.org/wiki/Petroleum" TargetMode="External"/><Relationship Id="rId96" Type="http://schemas.openxmlformats.org/officeDocument/2006/relationships/hyperlink" Target="https://en.wikipedia.org/wiki/Gas_condensate" TargetMode="External"/><Relationship Id="rId111" Type="http://schemas.openxmlformats.org/officeDocument/2006/relationships/hyperlink" Target="https://en.wikipedia.org/wiki/Square_meter" TargetMode="External"/><Relationship Id="rId132" Type="http://schemas.openxmlformats.org/officeDocument/2006/relationships/image" Target="media/image30.pn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yperlink" Target="http://www.focus-economics.com/country-indicator/united-states/fiscal-balance" TargetMode="External"/><Relationship Id="rId23" Type="http://schemas.openxmlformats.org/officeDocument/2006/relationships/hyperlink" Target="https://en.wikipedia.org/wiki/Excise_tax_in_the_United_States" TargetMode="External"/><Relationship Id="rId28" Type="http://schemas.openxmlformats.org/officeDocument/2006/relationships/hyperlink" Target="https://en.wikipedia.org/w/index.php?title=Budget_of_France&amp;action=edit&amp;section=1" TargetMode="External"/><Relationship Id="rId36" Type="http://schemas.openxmlformats.org/officeDocument/2006/relationships/hyperlink" Target="https://en.wikipedia.org/wiki/Income_tax" TargetMode="External"/><Relationship Id="rId49" Type="http://schemas.openxmlformats.org/officeDocument/2006/relationships/image" Target="media/image8.png"/><Relationship Id="rId57" Type="http://schemas.openxmlformats.org/officeDocument/2006/relationships/hyperlink" Target="https://en.wikipedia.org/wiki/President_of_Russia" TargetMode="External"/><Relationship Id="rId106" Type="http://schemas.openxmlformats.org/officeDocument/2006/relationships/hyperlink" Target="https://en.wikipedia.org/wiki/Suggested_retail_price" TargetMode="External"/><Relationship Id="rId114" Type="http://schemas.openxmlformats.org/officeDocument/2006/relationships/hyperlink" Target="http://www.tradingeconomics.com/russia/corporate-tax-rate" TargetMode="External"/><Relationship Id="rId119" Type="http://schemas.openxmlformats.org/officeDocument/2006/relationships/hyperlink" Target="http://www.tradingeconomics.com/russia/social-security-rate" TargetMode="External"/><Relationship Id="rId127" Type="http://schemas.openxmlformats.org/officeDocument/2006/relationships/image" Target="media/image26.png"/><Relationship Id="rId10" Type="http://schemas.openxmlformats.org/officeDocument/2006/relationships/hyperlink" Target="http://www.focus-economics.com/country-indicator/united-states/gdp-per-capita-USD" TargetMode="External"/><Relationship Id="rId31" Type="http://schemas.openxmlformats.org/officeDocument/2006/relationships/hyperlink" Target="https://en.wikipedia.org/wiki/Income_tax" TargetMode="External"/><Relationship Id="rId44" Type="http://schemas.openxmlformats.org/officeDocument/2006/relationships/hyperlink" Target="https://en.wikipedia.org/wiki/Economic_policy" TargetMode="External"/><Relationship Id="rId52" Type="http://schemas.openxmlformats.org/officeDocument/2006/relationships/image" Target="media/image11.png"/><Relationship Id="rId60" Type="http://schemas.openxmlformats.org/officeDocument/2006/relationships/image" Target="media/image12.png"/><Relationship Id="rId65" Type="http://schemas.openxmlformats.org/officeDocument/2006/relationships/hyperlink" Target="http://www.tradingeconomics.com/russia/government-budget-value" TargetMode="External"/><Relationship Id="rId73" Type="http://schemas.openxmlformats.org/officeDocument/2006/relationships/hyperlink" Target="http://www.tradingeconomics.com/russia/fiscal-expenditure" TargetMode="External"/><Relationship Id="rId78" Type="http://schemas.openxmlformats.org/officeDocument/2006/relationships/hyperlink" Target="http://www.tradingeconomics.com/russia/rating" TargetMode="External"/><Relationship Id="rId81" Type="http://schemas.openxmlformats.org/officeDocument/2006/relationships/image" Target="media/image15.png"/><Relationship Id="rId86" Type="http://schemas.openxmlformats.org/officeDocument/2006/relationships/hyperlink" Target="http://www.factosphere.com/pubfinance/budget/sources" TargetMode="External"/><Relationship Id="rId94" Type="http://schemas.openxmlformats.org/officeDocument/2006/relationships/hyperlink" Target="https://en.wikipedia.org/wiki/Krasnoyarsk_Krai" TargetMode="External"/><Relationship Id="rId99" Type="http://schemas.openxmlformats.org/officeDocument/2006/relationships/hyperlink" Target="https://en.wikipedia.org/wiki/Double_taxation" TargetMode="External"/><Relationship Id="rId101" Type="http://schemas.openxmlformats.org/officeDocument/2006/relationships/hyperlink" Target="https://en.wikipedia.org/wiki/Subsidiary" TargetMode="External"/><Relationship Id="rId122" Type="http://schemas.openxmlformats.org/officeDocument/2006/relationships/hyperlink" Target="http://www.tradingeconomics.com/russia/social-security-rate-for-employees" TargetMode="External"/><Relationship Id="rId130" Type="http://schemas.openxmlformats.org/officeDocument/2006/relationships/image" Target="media/image29.png"/><Relationship Id="rId4" Type="http://schemas.openxmlformats.org/officeDocument/2006/relationships/webSettings" Target="webSettings.xml"/><Relationship Id="rId9" Type="http://schemas.openxmlformats.org/officeDocument/2006/relationships/hyperlink" Target="http://www.focus-economics.com/country-indicator/united-states/population" TargetMode="External"/><Relationship Id="rId13" Type="http://schemas.openxmlformats.org/officeDocument/2006/relationships/hyperlink" Target="http://www.focus-economics.com/country-indicator/united-states/investment" TargetMode="External"/><Relationship Id="rId18" Type="http://schemas.openxmlformats.org/officeDocument/2006/relationships/hyperlink" Target="http://www.focus-economics.com/country-indicator/united-states/interest-rate" TargetMode="External"/><Relationship Id="rId39" Type="http://schemas.openxmlformats.org/officeDocument/2006/relationships/hyperlink" Target="https://en.wikipedia.org/wiki/Consumption_tax" TargetMode="External"/><Relationship Id="rId109" Type="http://schemas.openxmlformats.org/officeDocument/2006/relationships/hyperlink" Target="https://en.wikipedia.org/wiki/Horsepower" TargetMode="External"/><Relationship Id="rId34" Type="http://schemas.openxmlformats.org/officeDocument/2006/relationships/hyperlink" Target="https://en.wikipedia.org/wiki/Consumption_tax" TargetMode="External"/><Relationship Id="rId50" Type="http://schemas.openxmlformats.org/officeDocument/2006/relationships/image" Target="media/image9.png"/><Relationship Id="rId55" Type="http://schemas.openxmlformats.org/officeDocument/2006/relationships/hyperlink" Target="https://en.wikipedia.org/wiki/Federal_Assembly_of_Russia" TargetMode="External"/><Relationship Id="rId76" Type="http://schemas.openxmlformats.org/officeDocument/2006/relationships/hyperlink" Target="http://www.tradingeconomics.com/russia/military-expenditure" TargetMode="External"/><Relationship Id="rId97" Type="http://schemas.openxmlformats.org/officeDocument/2006/relationships/hyperlink" Target="https://en.wikipedia.org/wiki/Hydroelectricity" TargetMode="External"/><Relationship Id="rId104" Type="http://schemas.openxmlformats.org/officeDocument/2006/relationships/hyperlink" Target="https://en.wikipedia.org/wiki/Excise_tax" TargetMode="External"/><Relationship Id="rId120" Type="http://schemas.openxmlformats.org/officeDocument/2006/relationships/hyperlink" Target="http://www.tradingeconomics.com/russia/social-security-rate" TargetMode="External"/><Relationship Id="rId125" Type="http://schemas.openxmlformats.org/officeDocument/2006/relationships/image" Target="media/image24.png"/><Relationship Id="rId7" Type="http://schemas.openxmlformats.org/officeDocument/2006/relationships/image" Target="media/image3.png"/><Relationship Id="rId71" Type="http://schemas.openxmlformats.org/officeDocument/2006/relationships/hyperlink" Target="http://www.tradingeconomics.com/russia/government-debt" TargetMode="External"/><Relationship Id="rId92" Type="http://schemas.openxmlformats.org/officeDocument/2006/relationships/hyperlink" Target="https://en.wikipedia.org/wiki/Sakha_Republic" TargetMode="External"/><Relationship Id="rId2" Type="http://schemas.openxmlformats.org/officeDocument/2006/relationships/styles" Target="styles.xml"/><Relationship Id="rId29" Type="http://schemas.openxmlformats.org/officeDocument/2006/relationships/image" Target="media/image5.png"/><Relationship Id="rId24" Type="http://schemas.openxmlformats.org/officeDocument/2006/relationships/hyperlink" Target="https://en.wikipedia.org/wiki/Customs" TargetMode="External"/><Relationship Id="rId40" Type="http://schemas.openxmlformats.org/officeDocument/2006/relationships/hyperlink" Target="https://en.wikipedia.org/wiki/United_States" TargetMode="External"/><Relationship Id="rId45" Type="http://schemas.openxmlformats.org/officeDocument/2006/relationships/hyperlink" Target="https://en.wikipedia.org/wiki/Shareholder" TargetMode="External"/><Relationship Id="rId66" Type="http://schemas.openxmlformats.org/officeDocument/2006/relationships/hyperlink" Target="http://www.tradingeconomics.com/russia/government-budget-value" TargetMode="External"/><Relationship Id="rId87" Type="http://schemas.openxmlformats.org/officeDocument/2006/relationships/image" Target="media/image19.png"/><Relationship Id="rId110" Type="http://schemas.openxmlformats.org/officeDocument/2006/relationships/hyperlink" Target="https://en.wikipedia.org/wiki/Gambling_in_Russia" TargetMode="External"/><Relationship Id="rId115" Type="http://schemas.openxmlformats.org/officeDocument/2006/relationships/hyperlink" Target="http://www.tradingeconomics.com/russia/personal-income-tax-rate" TargetMode="External"/><Relationship Id="rId131" Type="http://schemas.openxmlformats.org/officeDocument/2006/relationships/hyperlink" Target="http://www.turkmenistan.it/banchecommercialigb.html" TargetMode="External"/><Relationship Id="rId61" Type="http://schemas.openxmlformats.org/officeDocument/2006/relationships/hyperlink" Target="http://www.tradingeconomics.com/russia/government-debt-to-gdp" TargetMode="External"/><Relationship Id="rId82" Type="http://schemas.openxmlformats.org/officeDocument/2006/relationships/image" Target="media/image16.png"/><Relationship Id="rId19" Type="http://schemas.openxmlformats.org/officeDocument/2006/relationships/hyperlink" Target="http://www.focus-economics.com/country-indicator/united-states/current-accoun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TotalTime>
  <Pages>153</Pages>
  <Words>78755</Words>
  <Characters>448909</Characters>
  <Application>Microsoft Office Word</Application>
  <DocSecurity>0</DocSecurity>
  <Lines>3740</Lines>
  <Paragraphs>1053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526611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Молдир</dc:creator>
  <cp:keywords/>
  <dc:description/>
  <cp:lastModifiedBy>Молдир</cp:lastModifiedBy>
  <cp:revision>14</cp:revision>
  <dcterms:created xsi:type="dcterms:W3CDTF">2020-01-30T08:51:00Z</dcterms:created>
  <dcterms:modified xsi:type="dcterms:W3CDTF">2020-02-28T07:22:00Z</dcterms:modified>
</cp:coreProperties>
</file>